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1"/>
        <w:spacing w:after="0" w:before="120"/>
        <w:contextualSpacing w:val="false"/>
        <w:jc w:val="left"/>
      </w:pPr>
      <w:r>
        <w:rPr/>
      </w:r>
    </w:p>
    <w:p>
      <w:pPr>
        <w:pStyle w:val="style41"/>
      </w:pPr>
      <w:r>
        <w:rPr>
          <w:bCs/>
          <w:sz w:val="24"/>
          <w:szCs w:val="24"/>
        </w:rPr>
        <w:t>Людмила Иннокентьевна</w:t>
      </w:r>
      <w:r>
        <w:rPr>
          <w:rStyle w:val="style22"/>
          <w:b/>
          <w:sz w:val="22"/>
          <w:szCs w:val="22"/>
        </w:rPr>
        <w:t xml:space="preserve"> </w:t>
      </w:r>
      <w:r>
        <w:rPr>
          <w:rStyle w:val="style22"/>
          <w:color w:val="000000"/>
          <w:spacing w:val="0"/>
          <w:szCs w:val="32"/>
        </w:rPr>
        <w:t>Романова</w:t>
      </w:r>
      <w:r>
        <w:rPr>
          <w:rStyle w:val="style22"/>
        </w:rPr>
        <w:t xml:space="preserve">  </w:t>
      </w:r>
    </w:p>
    <w:p>
      <w:pPr>
        <w:pStyle w:val="style41"/>
      </w:pPr>
      <w:r>
        <w:rPr>
          <w:rStyle w:val="style22"/>
          <w:b/>
          <w:sz w:val="22"/>
          <w:szCs w:val="22"/>
        </w:rPr>
        <w:t xml:space="preserve">Детская </w:t>
      </w:r>
      <w:r>
        <w:rPr>
          <w:rStyle w:val="style22"/>
          <w:b/>
          <w:color w:val="000000"/>
          <w:spacing w:val="0"/>
        </w:rPr>
        <w:t>музыкальная</w:t>
      </w:r>
      <w:r>
        <w:rPr>
          <w:rStyle w:val="style22"/>
          <w:b/>
        </w:rPr>
        <w:t xml:space="preserve"> школа №2</w:t>
        <w:br/>
        <w:t>г.Иркутск</w:t>
      </w:r>
    </w:p>
    <w:p>
      <w:pPr>
        <w:pStyle w:val="style43"/>
      </w:pPr>
      <w:r>
        <w:rPr>
          <w:rStyle w:val="style22"/>
          <w:sz w:val="56"/>
          <w:szCs w:val="56"/>
        </w:rPr>
        <w:t xml:space="preserve"> </w:t>
      </w:r>
      <w:r>
        <w:rPr>
          <w:rStyle w:val="style22"/>
          <w:color w:val="000000"/>
          <w:spacing w:val="0"/>
          <w:sz w:val="28"/>
          <w:szCs w:val="32"/>
        </w:rPr>
        <w:t>«</w:t>
      </w:r>
      <w:r>
        <w:rPr>
          <w:rStyle w:val="style22"/>
        </w:rPr>
        <w:t xml:space="preserve"> Проблемы в работе с начинающими»</w:t>
      </w:r>
    </w:p>
    <w:p>
      <w:pPr>
        <w:pStyle w:val="style39"/>
      </w:pPr>
      <w:r>
        <w:rPr>
          <w:rStyle w:val="style22"/>
          <w:color w:val="000000"/>
          <w:spacing w:val="0"/>
          <w:sz w:val="22"/>
          <w:szCs w:val="22"/>
        </w:rPr>
        <w:t xml:space="preserve">Тема «Проблемы в работе с начинающими» является для всех педагогов очень острой и актуальной, так как первый этап обучения- это решающий этап для всей дальнейшей судьбы музыканта, имеющий свои специфические особенности. В этот период воспитывающее влияние педагога на ученика, для которого педагог по фортепиано- это часто вообще первый учитель в жизни, особенно сильно. Работая с начинающими, мы приступаем к возведению своего рода музыкального фундамента, а его качество и направленность зачастую определяет ход дальнейшего обучения. </w:t>
      </w:r>
    </w:p>
    <w:p>
      <w:pPr>
        <w:pStyle w:val="style39"/>
      </w:pPr>
      <w:r>
        <w:rPr>
          <w:rStyle w:val="style22"/>
        </w:rPr>
        <w:t xml:space="preserve"> </w:t>
      </w:r>
      <w:r>
        <w:rPr>
          <w:rStyle w:val="style22"/>
        </w:rPr>
        <w:t>Уже в первые годы закладывается основа понимания музыкальных произведений, проникновение в мир музыкальных образов. Одно из условий  этих ранних занятиях – суметь привлечь к себе симпатии ребенка. Педагог не может надеяться, что ребенок полюбит музыку, если ему не стала близка личность педагога. Ребенок должен почувствовать, что учитель разговаривает с ним, как с равным, рассуждает с ним серьезно выслушивает его рассуждения. Тогда ученик испытывает доверие к</w:t>
        <w:br/>
        <w:t>учителю и у него появляется чувство ответственности, стремление оправдать это доверие. С этого начинается авторитет педагога. Так создается почва для того, чтобы заинтересовать ученика музыкальными уроками. Не следует часто подчеркивать его недостатки, например, внушать ему, что он - лентяй. В данном случае внушение - опасный метод, которым лучше пользоваться для воспитания положительных сторон. Педагог обязан найти у ученика эти стороны и в своей работе опираться  на них, поощрять их и развивать. Это не значит, что на недостатки можно закрыть глаза. Наоборот, с ними нужно активно бороться. Однако они,  как все плохое, виднее, понятнее и острее ощутимы на фоне хорошего. Ученику хочется получать от музыки удовольствие и радость, но он не согласен достигать этого ценой длительной, нудной и однообразной работы. Избавить его от ощущения однообразия, сделать так, чтобы труд доставлял радость, а время занятий проходило незаметно - важнейшая задача в педагогической работе этого периода. И путь к этому один - научить ребенка работать за инструментом, то есть наполнить</w:t>
        <w:br/>
        <w:t>процесс разучивания осмысленными, интересными и доступными ученику</w:t>
        <w:br/>
        <w:t>заданиями.</w:t>
      </w:r>
    </w:p>
    <w:p>
      <w:pPr>
        <w:pStyle w:val="style39"/>
      </w:pPr>
      <w:r>
        <w:rPr>
          <w:rStyle w:val="style22"/>
          <w:color w:val="000000"/>
          <w:spacing w:val="0"/>
          <w:sz w:val="22"/>
          <w:szCs w:val="22"/>
        </w:rPr>
        <w:t xml:space="preserve"> </w:t>
      </w:r>
      <w:r>
        <w:rPr>
          <w:rStyle w:val="style22"/>
          <w:color w:val="000000"/>
          <w:spacing w:val="0"/>
          <w:sz w:val="22"/>
          <w:szCs w:val="22"/>
        </w:rPr>
        <w:t>Первые уроки основываются, главным образом, на пении</w:t>
        <w:br/>
        <w:t>различных легких, коротеньких детских песенок и разучивания их, добиваясь</w:t>
      </w:r>
      <w:r>
        <w:rPr>
          <w:rStyle w:val="style22"/>
        </w:rPr>
        <w:t xml:space="preserve"> чистоты интонирования, ритмической точности, передачи характера текста и музыки. Затем попытаться сыграть мелодию на фортепиано. Когда она будет достаточно хорошо получаться, очень полезно добавить к этому сопровождение педагога - так ребенок познакомиться с игрой в 4 руки. Обычно это очень нравиться ученикам. Также сопровождение придает игре   ребенка ритмическую устойчивость   ( если аккомпанемент играть равными длительностями), помогает охватить песенку целиком, лучше передать ее характер. Игра в 4 руки не должна ограничиваться начальным периодом, а должна продолжаться в течение всего времени обучения, охватывая богатый и интересный материал оркестровых, оперных и других произведений, расширяя музыкальный кругозор ученика, («Тра-та-та», «Березка», «Украинская народная песня»).</w:t>
      </w:r>
    </w:p>
    <w:p>
      <w:pPr>
        <w:pStyle w:val="style39"/>
      </w:pPr>
      <w:r>
        <w:rPr>
          <w:rStyle w:val="style22"/>
          <w:color w:val="000000"/>
          <w:spacing w:val="0"/>
          <w:sz w:val="22"/>
          <w:szCs w:val="22"/>
        </w:rPr>
        <w:t>Пример последней пьесы воплотил в себе одну из наиболее важных задач</w:t>
        <w:br/>
        <w:t xml:space="preserve">педагога в работе с начинающими - научить слышать и исполнять </w:t>
        <w:br/>
        <w:t>мелодическую линию. Самым простым ее выражением будет короткая мелодия, исполняемая легато. Казалось бы, целесообразно начинать работу с исполнения звуковых последовательностей штрихом легато. Однако практически это часто оказывается невозможным, так как рука ученика может быть напряженной, зажатой либо несобранной с вялыми пальцами.   В этих случаях необходима, пусть порой и коротка по времени, подготовительная работа. Наиболее приемлемое следующее положение - когда ученик обладает от природы мягкой и в тоже время довольно упругой кистью и пальцами, можно начинать работу почти одновременно над штрихами нон легато и легато, следует подчеркнуть</w:t>
        <w:br/>
        <w:t>различие в их звучании, показать, как в одном случае надо брать звуки</w:t>
        <w:br/>
        <w:t>«немного сверху», а в другом - их связывать. Можно также постепенно</w:t>
        <w:br/>
        <w:t>налаживать игру двумя штрихами, если ученик играет уже относительно</w:t>
        <w:br/>
        <w:t>связно. Если же это затруднительно, то начинать, конечно, нон легато. Но</w:t>
        <w:br/>
        <w:t>вообще, чем раньше вводить игру легато, тем лучше, так как этот штрих</w:t>
        <w:br/>
        <w:t>позволяет вслушаться в плавность звучания мелодии, дай используемый</w:t>
        <w:br/>
        <w:t>материал станет разнообразней, интересней для ученика. Все это требует</w:t>
        <w:br/>
        <w:t>особого нашего внимания: иначе не исключено возвращение скованности кисти и руки. Применяя оба штриха, хорошо давать такой материал , при котором легато исполняются короткие мотивы, чередующиеся с нон легато или стаккато. Часто приходиться напоминать ученику, чтобы он не играл на краю клавиатуры. Надо показать, что удобнее располагать руку ближе к черным клавишам (тогда их так же легко брать, как и белые). (Пример: песенка на стаккато и легато^).</w:t>
      </w:r>
    </w:p>
    <w:p>
      <w:pPr>
        <w:pStyle w:val="style39"/>
      </w:pPr>
      <w:r>
        <w:rPr>
          <w:rStyle w:val="style22"/>
        </w:rPr>
        <w:t>Овладение различными штрихами позволяет расширить круг изучаемых</w:t>
        <w:br/>
        <w:t>пьес. Они должны быть простыми и выразительными по муз.материалу,</w:t>
        <w:br/>
        <w:t xml:space="preserve">различными по характеру, доступными по трудности, легко запоминающимися. Вводя одновременную игру обеими руками, лучше обращаться в основном к пьесам с различными партиями правой и левой руки. Они могут быть изложены в виде мелодии и сопровождения, включать элементы полифонии -имитацию, подголоски. (Пример: «Земелюшка-чернозем». </w:t>
      </w:r>
    </w:p>
    <w:p>
      <w:pPr>
        <w:pStyle w:val="style39"/>
      </w:pPr>
      <w:r>
        <w:rPr>
          <w:rStyle w:val="style22"/>
          <w:color w:val="000000"/>
          <w:spacing w:val="0"/>
          <w:sz w:val="22"/>
          <w:szCs w:val="22"/>
        </w:rPr>
        <w:t>Уже на самом начальном этапе занятий надо, чтобы ученик</w:t>
        <w:br/>
        <w:t>вслушивался в звучание, не путал штрихи, не брал фальшивые ноты, играл</w:t>
        <w:br/>
        <w:t>ритмически точно, точную аппликатуру. Иными словами, воспитывать</w:t>
        <w:br/>
        <w:t xml:space="preserve">грамотность исполнения. Для этого в течение первых 4-5 месяцев желательно почти  каждое  сочинение разбирать с учеником на уроке, в дальнейшем можно разбирать на уроке лишь более сложные  пьесы или  отрывки из  них,  если ученик разобрал партию одной руки, целесообразно поиграть вместе с ним другую партию - это совместное исполнение облегчит дальнейшую работу,  поможет понять разницу в исполнении мелодии и аккомпанемента. Преодоление трудностей, игра в медленных темпах не должны мешать ученику исполнять пьесу целиком. Нельзя вносить в исполнение моменты статичности. Ведь иногда приходится слышать, как маленькие ученики, стремясь сыграть правильные ноты, выстукивают каждую из них вне музыкального смысла. Это, конечно, надо тотчас же исправить – облегчить задание, если оно оказалось сложным для ученика, выбрать те пьесы, которые больше нравятся. </w:t>
      </w:r>
    </w:p>
    <w:p>
      <w:pPr>
        <w:pStyle w:val="style39"/>
      </w:pPr>
      <w:r>
        <w:rPr>
          <w:rStyle w:val="style22"/>
          <w:color w:val="000000"/>
          <w:spacing w:val="0"/>
          <w:sz w:val="22"/>
          <w:szCs w:val="22"/>
        </w:rPr>
        <w:t>Также еще в начальном периоде обучения нужно познакомить ребенка с</w:t>
        <w:br/>
        <w:t>динамическим разнообразием. Сначала следует быть осторожным даже с</w:t>
        <w:br/>
        <w:t>такими оттенками, как форте и пиано, Ведь игра форте легко переходит в</w:t>
        <w:br/>
        <w:t>форсирование звука, а пиано может привести к поверхности звучания, к</w:t>
        <w:br/>
        <w:t xml:space="preserve">недобиранию звука. И то и другое вредно, так как создает у ученика ложное </w:t>
      </w:r>
      <w:r>
        <w:rPr>
          <w:rStyle w:val="style22"/>
          <w:color w:val="000000"/>
          <w:sz w:val="22"/>
          <w:szCs w:val="22"/>
        </w:rPr>
        <w:t>представление о нужном звучании и, кроме того, может привести к</w:t>
        <w:br/>
        <w:t>скованности. Нужно следить чтобы динамические нюансы непосредственно</w:t>
        <w:br/>
        <w:t>связывались с музыкой, были бы вызваны ею и поняты ученику,</w:t>
        <w:br/>
        <w:t>связывались с музыкальным содержание, подчеркивали характер</w:t>
        <w:br/>
        <w:t>исполняемой фразы, пьесы. Лучше не говорить замечания однозначно</w:t>
        <w:br/>
        <w:t>(громче, тише), а сказать - смелее, решительнее, ласково, легко, совсем</w:t>
        <w:br/>
        <w:t>тихонько, чтобы динамические оттенки стали для ребенка естественными и</w:t>
        <w:br/>
        <w:t>игра была красивой и естественной.</w:t>
      </w:r>
    </w:p>
    <w:p>
      <w:pPr>
        <w:pStyle w:val="style39"/>
      </w:pPr>
      <w:r>
        <w:rPr>
          <w:rStyle w:val="style22"/>
          <w:color w:val="000000"/>
          <w:sz w:val="22"/>
          <w:szCs w:val="22"/>
        </w:rPr>
        <w:t>Также серьезное внимание надо обращать на освоение начинающими</w:t>
        <w:br/>
        <w:t>метрической стороны записи, на метрическую точность исполнения. В ходе</w:t>
        <w:br/>
        <w:t>занятий возникает и вопрос связанный со счетом. Нужен ли он? В какой</w:t>
        <w:br/>
        <w:t>мере? На мой взгляд - нет. Конечно, ученик всегда должен уметь просчитать пьесу, особенно при знакомстве с новыми сочинениями и при работе над трудными в метроритмическом отношении местами. Вместе с тем, не нужно приучать ребенка к тому, чтобы он всегда считал, потому, что это способствует механичности игры, мешает вслушиванию в мелодическую линию и воспитанию музыкального ритма. Особенно нужно предостерегать от злоупотребления счетом «и»;</w:t>
      </w:r>
      <w:r>
        <w:rPr>
          <w:rStyle w:val="style25"/>
          <w:b w:val="false"/>
          <w:bCs w:val="false"/>
          <w:color w:val="000000"/>
          <w:sz w:val="22"/>
          <w:szCs w:val="22"/>
        </w:rPr>
        <w:t xml:space="preserve"> </w:t>
      </w:r>
      <w:r>
        <w:rPr>
          <w:rStyle w:val="style22"/>
          <w:color w:val="000000"/>
          <w:spacing w:val="0"/>
          <w:sz w:val="22"/>
          <w:szCs w:val="22"/>
        </w:rPr>
        <w:t xml:space="preserve">восьмые по счет «раз и два и» обычно не воспринимаются учеником как образующее мелодическую линию, он толкает каждый звук, и фраза получается разорванной. Иногда ребенку трудно выдержать пьесу в одном темпе, поэтому нужно добиваться темповой точности в наиболее неустойчивых местах и во всей пьесе целиком. Для этого надо определить, в чем причина неровности - ведь нередко у ученика </w:t>
      </w:r>
      <w:r>
        <w:rPr>
          <w:rStyle w:val="style22"/>
        </w:rPr>
        <w:t>что-то не выходит технически, и именно из-за этого меняется и движение.</w:t>
      </w:r>
    </w:p>
    <w:p>
      <w:pPr>
        <w:pStyle w:val="style39"/>
      </w:pPr>
      <w:r>
        <w:rPr>
          <w:rStyle w:val="style22"/>
        </w:rPr>
        <w:t>Едва ребенок начинает играть по нотам, встает вопрос о выучивании</w:t>
        <w:br/>
        <w:t>наизусть. Обычно дети запоминают произведения незаметно для себя, но</w:t>
        <w:br/>
        <w:t>некоторым не так легко дается запоминание даже простых сочинений. В</w:t>
        <w:br/>
        <w:t>каждом случае надо найти, что именно ученик может запомнить. Нужно,</w:t>
      </w:r>
    </w:p>
    <w:p>
      <w:pPr>
        <w:pStyle w:val="style39"/>
      </w:pPr>
      <w:r>
        <w:rPr>
          <w:rStyle w:val="style22"/>
          <w:color w:val="000000"/>
          <w:spacing w:val="0"/>
          <w:sz w:val="22"/>
          <w:szCs w:val="22"/>
        </w:rPr>
        <w:t>ч</w:t>
      </w:r>
      <w:r>
        <w:rPr>
          <w:rStyle w:val="style22"/>
        </w:rPr>
        <w:t>тобы ясно представлял строение произведения, точно знал текст</w:t>
        <w:br/>
        <w:t>каждой фразы по нотам, полезно поучить каждой рукой отдельно, затем</w:t>
        <w:br/>
        <w:t>сыграть вместе двумя руками. Иногда затруднения вызваны слишком</w:t>
        <w:br/>
        <w:t>быстрым для ученика усложнением материала. Тогда надо облегчить</w:t>
        <w:br/>
        <w:t>задания, пройти больше пьес и более легких.</w:t>
      </w:r>
    </w:p>
    <w:p>
      <w:pPr>
        <w:pStyle w:val="style39"/>
      </w:pPr>
      <w:r>
        <w:rPr>
          <w:rStyle w:val="style22"/>
        </w:rPr>
        <w:t>Для успешности занятий важно правильное построение урока. Тонус</w:t>
        <w:br/>
        <w:t>урока должен быть бодрым и оживленным. Однако не следует</w:t>
        <w:br/>
        <w:t>стремиться лишь к занимательности урока. Важно не только возбудить</w:t>
        <w:br/>
        <w:t>интерес к урокам, но воспитать серьезное к ним отношение. С работой</w:t>
        <w:br/>
        <w:t>ученика на уроке тесно связана организация домашних занятий. Все</w:t>
        <w:br/>
        <w:t>достигнутое в совместных занятиях может быть сведено на нет, если</w:t>
        <w:br/>
        <w:t>ребенок не будет заниматься дома. Для этого необходимы прежде всего</w:t>
        <w:br/>
        <w:t>максимальная конкретность и доступность заданий.</w:t>
      </w:r>
    </w:p>
    <w:p>
      <w:pPr>
        <w:pStyle w:val="style39"/>
      </w:pPr>
      <w:r>
        <w:rPr>
          <w:rStyle w:val="style22"/>
        </w:rPr>
        <w:t>Перед педагогом, работающим с начинающими стоят серьезные и</w:t>
        <w:br/>
        <w:t>многообразные задачи. Сознание большой ответственности, тщательная</w:t>
        <w:br/>
        <w:t>продуманность работы, подлинный интерес к занятиям с учениками,</w:t>
        <w:br/>
        <w:t>умение вникнуть в психологию каждого ученика, хороший вкус</w:t>
        <w:br/>
        <w:t>музыканта в музыкальную культуру - необходимые условия для их</w:t>
        <w:br/>
        <w:t>успешного разрешения.</w:t>
      </w:r>
    </w:p>
    <w:p>
      <w:pPr>
        <w:pStyle w:val="style40"/>
      </w:pPr>
      <w:r>
        <w:rPr>
          <w:rStyle w:val="style25"/>
          <w:b w:val="false"/>
          <w:bCs w:val="false"/>
          <w:color w:val="000000"/>
          <w:sz w:val="24"/>
        </w:rPr>
        <w:t>Список</w:t>
      </w:r>
      <w:r>
        <w:rPr>
          <w:rStyle w:val="style25"/>
        </w:rPr>
        <w:t xml:space="preserve"> используемой</w:t>
      </w:r>
      <w:r>
        <w:rPr>
          <w:rStyle w:val="style22"/>
        </w:rPr>
        <w:t xml:space="preserve"> литературы:  </w:t>
      </w:r>
    </w:p>
    <w:p>
      <w:pPr>
        <w:pStyle w:val="style39"/>
        <w:numPr>
          <w:ilvl w:val="0"/>
          <w:numId w:val="1"/>
        </w:numPr>
      </w:pPr>
      <w:r>
        <w:rPr>
          <w:rStyle w:val="style22"/>
          <w:color w:val="000000"/>
          <w:spacing w:val="0"/>
          <w:sz w:val="22"/>
        </w:rPr>
        <w:t>«</w:t>
      </w:r>
      <w:r>
        <w:rPr>
          <w:rStyle w:val="style22"/>
          <w:szCs w:val="22"/>
        </w:rPr>
        <w:t>Ребенок за роялем»</w:t>
      </w:r>
    </w:p>
    <w:p>
      <w:pPr>
        <w:pStyle w:val="style39"/>
        <w:numPr>
          <w:ilvl w:val="0"/>
          <w:numId w:val="1"/>
        </w:numPr>
      </w:pPr>
      <w:r>
        <w:rPr>
          <w:rStyle w:val="style22"/>
          <w:szCs w:val="22"/>
        </w:rPr>
        <w:t>Тимакин. «Воспитание пианиста»</w:t>
      </w:r>
    </w:p>
    <w:p>
      <w:pPr>
        <w:pStyle w:val="style39"/>
        <w:numPr>
          <w:ilvl w:val="0"/>
          <w:numId w:val="1"/>
        </w:numPr>
      </w:pPr>
      <w:r>
        <w:rPr>
          <w:rStyle w:val="style22"/>
          <w:szCs w:val="22"/>
        </w:rPr>
        <w:t>Любомудрова. «Методика обучения игры</w:t>
        <w:br/>
        <w:t>на фортепиано».</w:t>
      </w:r>
    </w:p>
    <w:p>
      <w:pPr>
        <w:pStyle w:val="style39"/>
        <w:numPr>
          <w:ilvl w:val="0"/>
          <w:numId w:val="1"/>
        </w:numPr>
        <w:spacing w:after="60" w:before="60"/>
        <w:contextualSpacing w:val="false"/>
      </w:pPr>
      <w:r>
        <w:rPr>
          <w:rStyle w:val="style22"/>
          <w:szCs w:val="22"/>
        </w:rPr>
        <w:t>Артоболевская. «Введение в музыку»</w:t>
      </w:r>
    </w:p>
    <w:sectPr>
      <w:type w:val="nextPage"/>
      <w:pgSz w:h="16838" w:w="11906"/>
      <w:pgMar w:bottom="720" w:footer="0" w:gutter="0" w:header="0" w:left="1551" w:right="967" w:top="113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  <w:autoSpaceDE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5" w:type="character">
    <w:name w:val="WW8Num4z0"/>
    <w:next w:val="style15"/>
    <w:rPr>
      <w:rFonts w:ascii="Symbol" w:cs="Symbol" w:hAnsi="Symbol"/>
    </w:rPr>
  </w:style>
  <w:style w:styleId="style16" w:type="character">
    <w:name w:val="WW8Num4z1"/>
    <w:next w:val="style16"/>
    <w:rPr>
      <w:rFonts w:ascii="Courier New" w:cs="Courier New" w:hAnsi="Courier New"/>
    </w:rPr>
  </w:style>
  <w:style w:styleId="style17" w:type="character">
    <w:name w:val="WW8Num4z2"/>
    <w:next w:val="style17"/>
    <w:rPr>
      <w:rFonts w:ascii="Wingdings" w:cs="Wingdings" w:hAnsi="Wingdings"/>
    </w:rPr>
  </w:style>
  <w:style w:styleId="style18" w:type="character">
    <w:name w:val="WW8Num6z0"/>
    <w:next w:val="style18"/>
    <w:rPr>
      <w:rFonts w:ascii="Times New Roman" w:cs="Times New Roman" w:hAnsi="Times New Roman"/>
    </w:rPr>
  </w:style>
  <w:style w:styleId="style19" w:type="character">
    <w:name w:val="Основной шрифт абзаца"/>
    <w:next w:val="style19"/>
    <w:rPr/>
  </w:style>
  <w:style w:styleId="style20" w:type="character">
    <w:name w:val="Font Style11"/>
    <w:basedOn w:val="style19"/>
    <w:next w:val="style20"/>
    <w:rPr>
      <w:rFonts w:ascii="Times New Roman" w:cs="Times New Roman" w:hAnsi="Times New Roman"/>
      <w:b/>
      <w:bCs/>
      <w:i/>
      <w:iCs/>
      <w:color w:val="000000"/>
      <w:spacing w:val="-10"/>
      <w:sz w:val="26"/>
      <w:szCs w:val="26"/>
    </w:rPr>
  </w:style>
  <w:style w:styleId="style21" w:type="character">
    <w:name w:val="Font Style12"/>
    <w:basedOn w:val="style19"/>
    <w:next w:val="style21"/>
    <w:rPr>
      <w:rFonts w:ascii="Times New Roman" w:cs="Times New Roman" w:hAnsi="Times New Roman"/>
      <w:i/>
      <w:iCs/>
      <w:color w:val="000000"/>
      <w:spacing w:val="-20"/>
      <w:sz w:val="26"/>
      <w:szCs w:val="26"/>
    </w:rPr>
  </w:style>
  <w:style w:styleId="style22" w:type="character">
    <w:name w:val="Font Style13"/>
    <w:basedOn w:val="style19"/>
    <w:next w:val="style22"/>
    <w:rPr>
      <w:rFonts w:ascii="Times New Roman" w:cs="Times New Roman" w:hAnsi="Times New Roman"/>
      <w:color w:val="000000"/>
      <w:spacing w:val="20"/>
      <w:sz w:val="24"/>
      <w:szCs w:val="24"/>
    </w:rPr>
  </w:style>
  <w:style w:styleId="style23" w:type="character">
    <w:name w:val="Font Style14"/>
    <w:basedOn w:val="style19"/>
    <w:next w:val="style23"/>
    <w:rPr>
      <w:rFonts w:ascii="Palatino Linotype" w:cs="Palatino Linotype" w:hAnsi="Palatino Linotype"/>
      <w:i/>
      <w:iCs/>
      <w:color w:val="000000"/>
      <w:spacing w:val="-20"/>
      <w:sz w:val="24"/>
      <w:szCs w:val="24"/>
    </w:rPr>
  </w:style>
  <w:style w:styleId="style24" w:type="character">
    <w:name w:val="Font Style15"/>
    <w:basedOn w:val="style19"/>
    <w:next w:val="style24"/>
    <w:rPr>
      <w:rFonts w:ascii="Arial Narrow" w:cs="Arial Narrow" w:hAnsi="Arial Narrow"/>
      <w:b/>
      <w:bCs/>
      <w:i/>
      <w:iCs/>
      <w:color w:val="000000"/>
      <w:sz w:val="38"/>
      <w:szCs w:val="38"/>
    </w:rPr>
  </w:style>
  <w:style w:styleId="style25" w:type="character">
    <w:name w:val="Font Style16"/>
    <w:basedOn w:val="style19"/>
    <w:next w:val="style25"/>
    <w:rPr>
      <w:rFonts w:ascii="Times New Roman" w:cs="Times New Roman" w:hAnsi="Times New Roman"/>
      <w:b/>
      <w:bCs/>
      <w:color w:val="000000"/>
      <w:sz w:val="26"/>
      <w:szCs w:val="26"/>
    </w:rPr>
  </w:style>
  <w:style w:styleId="style26" w:type="paragraph">
    <w:name w:val="Заголовок"/>
    <w:basedOn w:val="style0"/>
    <w:next w:val="style27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27" w:type="paragraph">
    <w:name w:val="Основной текст"/>
    <w:basedOn w:val="style0"/>
    <w:next w:val="style27"/>
    <w:pPr>
      <w:spacing w:after="120" w:before="0"/>
      <w:contextualSpacing w:val="false"/>
    </w:pPr>
    <w:rPr/>
  </w:style>
  <w:style w:styleId="style28" w:type="paragraph">
    <w:name w:val="Список"/>
    <w:basedOn w:val="style27"/>
    <w:next w:val="style28"/>
    <w:pPr/>
    <w:rPr>
      <w:rFonts w:ascii="Myriad Pro" w:cs="Mangal" w:hAnsi="Myriad Pro"/>
    </w:rPr>
  </w:style>
  <w:style w:styleId="style29" w:type="paragraph">
    <w:name w:val="Название"/>
    <w:basedOn w:val="style0"/>
    <w:next w:val="style29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30" w:type="paragraph">
    <w:name w:val="Указатель"/>
    <w:basedOn w:val="style0"/>
    <w:next w:val="style30"/>
    <w:pPr>
      <w:suppressLineNumbers/>
    </w:pPr>
    <w:rPr>
      <w:rFonts w:ascii="Myriad Pro" w:cs="Mangal" w:hAnsi="Myriad Pro"/>
    </w:rPr>
  </w:style>
  <w:style w:styleId="style31" w:type="paragraph">
    <w:name w:val="Style1"/>
    <w:basedOn w:val="style0"/>
    <w:next w:val="style31"/>
    <w:pPr>
      <w:spacing w:line="318" w:lineRule="exact"/>
      <w:ind w:firstLine="202" w:left="0" w:right="0"/>
      <w:jc w:val="both"/>
    </w:pPr>
    <w:rPr/>
  </w:style>
  <w:style w:styleId="style32" w:type="paragraph">
    <w:name w:val="Style2"/>
    <w:basedOn w:val="style0"/>
    <w:next w:val="style32"/>
    <w:pPr>
      <w:spacing w:line="312" w:lineRule="exact"/>
      <w:jc w:val="both"/>
    </w:pPr>
    <w:rPr/>
  </w:style>
  <w:style w:styleId="style33" w:type="paragraph">
    <w:name w:val="Style3"/>
    <w:basedOn w:val="style0"/>
    <w:next w:val="style33"/>
    <w:pPr>
      <w:spacing w:line="317" w:lineRule="exact"/>
      <w:ind w:firstLine="197" w:left="0" w:right="0"/>
    </w:pPr>
    <w:rPr/>
  </w:style>
  <w:style w:styleId="style34" w:type="paragraph">
    <w:name w:val="Style4"/>
    <w:basedOn w:val="style0"/>
    <w:next w:val="style34"/>
    <w:pPr>
      <w:spacing w:line="322" w:lineRule="exact"/>
      <w:ind w:firstLine="346" w:left="0" w:right="0"/>
      <w:jc w:val="both"/>
    </w:pPr>
    <w:rPr/>
  </w:style>
  <w:style w:styleId="style35" w:type="paragraph">
    <w:name w:val="Style5"/>
    <w:basedOn w:val="style0"/>
    <w:next w:val="style35"/>
    <w:pPr>
      <w:spacing w:line="322" w:lineRule="exact"/>
      <w:jc w:val="both"/>
    </w:pPr>
    <w:rPr/>
  </w:style>
  <w:style w:styleId="style36" w:type="paragraph">
    <w:name w:val="Style6"/>
    <w:basedOn w:val="style0"/>
    <w:next w:val="style36"/>
    <w:pPr>
      <w:spacing w:line="323" w:lineRule="exact"/>
      <w:ind w:firstLine="214" w:left="0" w:right="0"/>
      <w:jc w:val="both"/>
    </w:pPr>
    <w:rPr/>
  </w:style>
  <w:style w:styleId="style37" w:type="paragraph">
    <w:name w:val="Style7"/>
    <w:basedOn w:val="style0"/>
    <w:next w:val="style37"/>
    <w:pPr>
      <w:spacing w:line="322" w:lineRule="exact"/>
      <w:ind w:hanging="283" w:left="0" w:right="0"/>
    </w:pPr>
    <w:rPr/>
  </w:style>
  <w:style w:styleId="style38" w:type="paragraph">
    <w:name w:val="Style8"/>
    <w:basedOn w:val="style0"/>
    <w:next w:val="style38"/>
    <w:pPr>
      <w:spacing w:line="322" w:lineRule="exact"/>
      <w:ind w:firstLine="485" w:left="0" w:right="0"/>
      <w:jc w:val="both"/>
    </w:pPr>
    <w:rPr/>
  </w:style>
  <w:style w:styleId="style39" w:type="paragraph">
    <w:name w:val="а_Текст"/>
    <w:basedOn w:val="style0"/>
    <w:next w:val="style39"/>
    <w:pPr>
      <w:widowControl/>
      <w:autoSpaceDE w:val="true"/>
      <w:spacing w:after="60" w:before="60"/>
      <w:ind w:firstLine="567" w:left="0" w:right="0"/>
      <w:contextualSpacing w:val="false"/>
    </w:pPr>
    <w:rPr>
      <w:sz w:val="22"/>
    </w:rPr>
  </w:style>
  <w:style w:styleId="style40" w:type="paragraph">
    <w:name w:val="а_2_Заголовок"/>
    <w:basedOn w:val="style0"/>
    <w:next w:val="style39"/>
    <w:pPr>
      <w:widowControl/>
      <w:autoSpaceDE w:val="true"/>
      <w:spacing w:after="0" w:before="120"/>
      <w:ind w:firstLine="567" w:left="0" w:right="0"/>
      <w:contextualSpacing w:val="false"/>
    </w:pPr>
    <w:rPr>
      <w:b/>
    </w:rPr>
  </w:style>
  <w:style w:styleId="style41" w:type="paragraph">
    <w:name w:val="а_Авторы"/>
    <w:basedOn w:val="style0"/>
    <w:next w:val="style0"/>
    <w:pPr>
      <w:widowControl/>
      <w:autoSpaceDE w:val="true"/>
      <w:spacing w:after="0" w:before="120"/>
      <w:contextualSpacing w:val="false"/>
      <w:jc w:val="right"/>
    </w:pPr>
    <w:rPr>
      <w:b/>
      <w:i/>
      <w:sz w:val="22"/>
      <w:szCs w:val="32"/>
    </w:rPr>
  </w:style>
  <w:style w:styleId="style42" w:type="paragraph">
    <w:name w:val="а_Учреждение"/>
    <w:basedOn w:val="style0"/>
    <w:next w:val="style0"/>
    <w:pPr>
      <w:widowControl/>
      <w:autoSpaceDE w:val="true"/>
      <w:jc w:val="right"/>
    </w:pPr>
    <w:rPr>
      <w:b/>
      <w:i/>
      <w:sz w:val="22"/>
      <w:szCs w:val="22"/>
    </w:rPr>
  </w:style>
  <w:style w:styleId="style43" w:type="paragraph">
    <w:name w:val="а_Заголовок"/>
    <w:basedOn w:val="style0"/>
    <w:next w:val="style0"/>
    <w:pPr>
      <w:widowControl/>
      <w:autoSpaceDE w:val="true"/>
      <w:spacing w:after="0" w:before="120"/>
      <w:contextualSpacing w:val="false"/>
      <w:jc w:val="center"/>
    </w:pPr>
    <w:rPr>
      <w:b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2014-04-30T12:52:00.00Z</dcterms:created>
  <dc:creator>user4</dc:creator>
  <cp:lastModifiedBy>4</cp:lastModifiedBy>
  <dcterms:modified xsi:type="dcterms:W3CDTF">2014-08-25T14:53:00.00Z</dcterms:modified>
  <cp:revision>12</cp:revision>
</cp:coreProperties>
</file>