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6.png" ContentType="image/png"/>
  <Override PartName="/word/media/image3.png" ContentType="image/png"/>
  <Override PartName="/word/media/image4.png" ContentType="image/png"/>
  <Override PartName="/word/media/image7.jpeg" ContentType="image/jpeg"/>
  <Override PartName="/word/media/image1.png" ContentType="image/png"/>
  <Override PartName="/word/media/image5.png" ContentType="image/png"/>
  <Override PartName="/word/media/image2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25"/>
        <w:spacing w:after="0" w:before="120"/>
        <w:contextualSpacing w:val="false"/>
      </w:pPr>
      <w:r>
        <w:rPr/>
        <w:t>Валентина Аркадьевна Ворожинская</w:t>
      </w:r>
    </w:p>
    <w:p>
      <w:pPr>
        <w:pStyle w:val="style26"/>
      </w:pPr>
      <w:r>
        <w:rPr/>
        <w:t>Школа искусств №1</w:t>
      </w:r>
    </w:p>
    <w:p>
      <w:pPr>
        <w:pStyle w:val="style26"/>
      </w:pPr>
      <w:r>
        <w:rPr/>
        <w:t>г.Усть-Илимск</w:t>
      </w:r>
    </w:p>
    <w:p>
      <w:pPr>
        <w:pStyle w:val="style0"/>
        <w:jc w:val="center"/>
      </w:pPr>
      <w:r>
        <w:rPr>
          <w:b/>
        </w:rPr>
      </w:r>
    </w:p>
    <w:p>
      <w:pPr>
        <w:pStyle w:val="style27"/>
      </w:pPr>
      <w:r>
        <w:rPr/>
        <w:t>Проект открытого урока</w:t>
      </w:r>
    </w:p>
    <w:p>
      <w:pPr>
        <w:pStyle w:val="style0"/>
        <w:jc w:val="center"/>
      </w:pPr>
      <w:r>
        <w:rPr>
          <w:b/>
        </w:rPr>
      </w:r>
    </w:p>
    <w:p>
      <w:pPr>
        <w:pStyle w:val="style23"/>
      </w:pPr>
      <w:r>
        <w:rPr>
          <w:b/>
        </w:rPr>
        <w:t xml:space="preserve">Тема: </w:t>
      </w:r>
      <w:r>
        <w:rPr/>
        <w:t>«От Баха до Битлз, или на прощанье о главном...»</w:t>
      </w:r>
    </w:p>
    <w:p>
      <w:pPr>
        <w:pStyle w:val="style0"/>
        <w:jc w:val="center"/>
      </w:pPr>
      <w:r>
        <w:rPr>
          <w:b/>
        </w:rPr>
      </w:r>
    </w:p>
    <w:p>
      <w:pPr>
        <w:pStyle w:val="style0"/>
        <w:numPr>
          <w:ilvl w:val="0"/>
          <w:numId w:val="11"/>
        </w:numPr>
      </w:pPr>
      <w:r>
        <w:rPr>
          <w:sz w:val="22"/>
          <w:szCs w:val="22"/>
        </w:rPr>
        <w:t>Цель урока.</w:t>
      </w:r>
    </w:p>
    <w:p>
      <w:pPr>
        <w:pStyle w:val="style0"/>
        <w:numPr>
          <w:ilvl w:val="0"/>
          <w:numId w:val="11"/>
        </w:numPr>
      </w:pPr>
      <w:r>
        <w:rPr>
          <w:sz w:val="22"/>
          <w:szCs w:val="22"/>
        </w:rPr>
        <w:t>Вступительное слово.</w:t>
      </w:r>
    </w:p>
    <w:p>
      <w:pPr>
        <w:pStyle w:val="style0"/>
        <w:ind w:firstLine="3" w:left="1062" w:right="0"/>
      </w:pPr>
      <w:r>
        <w:rPr>
          <w:sz w:val="22"/>
          <w:szCs w:val="22"/>
        </w:rPr>
        <w:t>2.1. О методике индивидуально-группового обучения</w:t>
      </w:r>
    </w:p>
    <w:p>
      <w:pPr>
        <w:pStyle w:val="style0"/>
        <w:ind w:firstLine="3" w:left="1059" w:right="0"/>
      </w:pPr>
      <w:r>
        <w:rPr>
          <w:sz w:val="22"/>
          <w:szCs w:val="22"/>
        </w:rPr>
        <w:t>2.2. О формах работы на уроке.</w:t>
      </w:r>
    </w:p>
    <w:p>
      <w:pPr>
        <w:pStyle w:val="style0"/>
        <w:numPr>
          <w:ilvl w:val="0"/>
          <w:numId w:val="11"/>
        </w:numPr>
      </w:pPr>
      <w:r>
        <w:rPr>
          <w:sz w:val="22"/>
          <w:szCs w:val="22"/>
        </w:rPr>
        <w:t>Практическая часть.</w:t>
      </w:r>
    </w:p>
    <w:p>
      <w:pPr>
        <w:pStyle w:val="style0"/>
      </w:pPr>
      <w:r>
        <w:rPr/>
      </w:r>
    </w:p>
    <w:p>
      <w:pPr>
        <w:pStyle w:val="style0"/>
        <w:numPr>
          <w:ilvl w:val="0"/>
          <w:numId w:val="12"/>
        </w:numPr>
      </w:pPr>
      <w:r>
        <w:rPr>
          <w:b/>
          <w:sz w:val="22"/>
          <w:szCs w:val="22"/>
        </w:rPr>
        <w:t xml:space="preserve">Цель урока: </w:t>
      </w:r>
    </w:p>
    <w:p>
      <w:pPr>
        <w:pStyle w:val="style0"/>
        <w:ind w:hanging="0" w:left="360" w:right="0"/>
      </w:pPr>
      <w:r>
        <w:rPr>
          <w:b/>
          <w:sz w:val="22"/>
          <w:szCs w:val="22"/>
        </w:rPr>
        <w:t xml:space="preserve">- </w:t>
      </w:r>
      <w:r>
        <w:rPr>
          <w:sz w:val="22"/>
          <w:szCs w:val="22"/>
        </w:rPr>
        <w:t>Показ различных форм и методов работы на уроках сольфеджио в старших классах, используя музыкальный материал от классики до джаза, при подаче нового и закреплении раннее пройденного материала;</w:t>
      </w:r>
    </w:p>
    <w:p>
      <w:pPr>
        <w:pStyle w:val="style0"/>
        <w:ind w:hanging="0" w:left="360" w:right="0"/>
      </w:pPr>
      <w:r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 Выявление целесообразности и возможности  использования методики ИГО (Индивидуально-группового обучения) на предмете сольфеджио, с целью изучения нового материала;</w:t>
      </w:r>
    </w:p>
    <w:p>
      <w:pPr>
        <w:pStyle w:val="style0"/>
        <w:ind w:hanging="0" w:left="360" w:right="0"/>
      </w:pPr>
      <w:r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 Обеспечение творческого развития учащегося через расширение и углубление опыта, знаний и умений, посредством работы над музыкальным материалом разных стилей и эпох;</w:t>
      </w:r>
    </w:p>
    <w:p>
      <w:pPr>
        <w:pStyle w:val="style0"/>
        <w:ind w:hanging="0" w:left="360" w:right="0"/>
      </w:pPr>
      <w:r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 В последний «прощальный « урок» сольфеджио в 8 классе, создать творческую, комфортную  психологическую среду, а также «задать» позитивный настрой на восприятие музыки и её значения в нашей жизни.</w:t>
      </w:r>
    </w:p>
    <w:p>
      <w:pPr>
        <w:pStyle w:val="style0"/>
      </w:pPr>
      <w:r>
        <w:rPr>
          <w:color w:val="FF0000"/>
        </w:rPr>
        <w:t xml:space="preserve"> </w:t>
      </w:r>
    </w:p>
    <w:p>
      <w:pPr>
        <w:pStyle w:val="style24"/>
      </w:pPr>
      <w:r>
        <w:rPr/>
        <w:t>Вступительное слово.</w:t>
      </w:r>
    </w:p>
    <w:p>
      <w:pPr>
        <w:pStyle w:val="style24"/>
      </w:pPr>
      <w:r>
        <w:rPr/>
        <w:t>2.1. О методике ИГО</w:t>
      </w:r>
    </w:p>
    <w:p>
      <w:pPr>
        <w:pStyle w:val="style23"/>
      </w:pPr>
      <w:r>
        <w:rPr/>
        <w:t xml:space="preserve">Задача школы — вооружить учащихся   знаниями, но помимо этого   нужно научить наших питомцев самостоятельности в процессе получения знаний -  “Научить учиться самостоятельно”. Воплотить элементы самообразования в школе может с успехом методика </w:t>
      </w:r>
      <w:r>
        <w:rPr>
          <w:i/>
        </w:rPr>
        <w:t xml:space="preserve">индивидуально-группового обучения </w:t>
      </w:r>
      <w:r>
        <w:rPr/>
        <w:t xml:space="preserve">(ИГО). </w:t>
      </w:r>
    </w:p>
    <w:p>
      <w:pPr>
        <w:pStyle w:val="style23"/>
      </w:pPr>
      <w:r>
        <w:rPr/>
        <w:t>Основное отличие новой схемы обучения заключается в том, что разговорная форма на первом этапе изучения темы заменяется письменным аналитическим творчеством. Новая схема получения знаний приучает школьников к ежедневному труду, самостоятельности, учит отвечать за себя, то есть делает ребенка личностью.</w:t>
      </w:r>
    </w:p>
    <w:p>
      <w:pPr>
        <w:pStyle w:val="style23"/>
      </w:pPr>
      <w:r>
        <w:rPr/>
        <w:t>Суть метода индивидуально-группового обучения:</w:t>
      </w:r>
    </w:p>
    <w:p>
      <w:pPr>
        <w:pStyle w:val="style23"/>
      </w:pPr>
      <w:r>
        <w:rPr/>
        <w:t>1) Учащиеся до изучения темы получают индивидуальные листы обучения (ИЛО), в которых напечатаны вопросы по теме и оставлены места для ответов.</w:t>
      </w:r>
    </w:p>
    <w:p>
      <w:pPr>
        <w:pStyle w:val="style23"/>
      </w:pPr>
      <w:r>
        <w:rPr/>
        <w:t>2) Учащиеся дома самостоятельно изучают материал параграфа, заполняют ИЛО, становясь активно обучающимися. Задания в ИЛО содержат вопросы, предполагающие прояснение смысла слов, выявления причинно – следственных связей, выделение признаков усваиваемых понятий и их связь с другими понятиями, развитие мыслительных операций (сравнение, обобщение, конкретизация и т.д.). Дети в силу различных причин усваивают материал с разной скоростью, некоторые отвлекаются во время объяснения учителя. Психологи говорят, что учащиеся воспринимают лишь от 25% до 85% сказанного преподавателем, а через 30 минут в памяти остается 60% первоначальной информации. Поэтому индивидуальная работа необходима именно на первоначальном этапе изучения темы.</w:t>
      </w:r>
    </w:p>
    <w:p>
      <w:pPr>
        <w:pStyle w:val="style0"/>
      </w:pPr>
      <w:r>
        <w:rPr/>
        <w:t>3) На уроке задание обсуждается, ликвидируются пробелы в знаниях. Учитель расширяет и углубляет знания учащихся по теме, с его помощью приобретается навык и умения пользоваться полученными знаниями.</w:t>
      </w:r>
    </w:p>
    <w:p>
      <w:pPr>
        <w:pStyle w:val="style23"/>
      </w:pPr>
      <w:r>
        <w:rPr/>
        <w:t>Преимущества методики индивидуально-группового обучения.</w:t>
      </w:r>
    </w:p>
    <w:p>
      <w:pPr>
        <w:pStyle w:val="style23"/>
      </w:pPr>
      <w:r>
        <w:rPr/>
        <w:t xml:space="preserve">Методика ИГО позволяет: </w:t>
      </w:r>
    </w:p>
    <w:p>
      <w:pPr>
        <w:pStyle w:val="style23"/>
        <w:numPr>
          <w:ilvl w:val="0"/>
          <w:numId w:val="2"/>
        </w:numPr>
      </w:pPr>
      <w:r>
        <w:rPr/>
        <w:t xml:space="preserve">развивает интерес к процессу учебы, делает получение знаний активным, что способствует усвоению информации без механического заучивания. </w:t>
      </w:r>
    </w:p>
    <w:p>
      <w:pPr>
        <w:pStyle w:val="style23"/>
        <w:numPr>
          <w:ilvl w:val="0"/>
          <w:numId w:val="2"/>
        </w:numPr>
      </w:pPr>
      <w:r>
        <w:rPr/>
        <w:t>методика ИГО позволяет учителю наладить обратную связь с каждым ребенком научить детей работать с текстом - выделять главное, осмысливать различные понятия;</w:t>
      </w:r>
    </w:p>
    <w:p>
      <w:pPr>
        <w:pStyle w:val="style23"/>
        <w:numPr>
          <w:ilvl w:val="0"/>
          <w:numId w:val="2"/>
        </w:numPr>
      </w:pPr>
      <w:r>
        <w:rPr/>
        <w:t>определять уровень и качество изучения материала каждым из учащихся оказывать своевременную помощь каждому учащемуся при изучении текущей темы.</w:t>
      </w:r>
    </w:p>
    <w:p>
      <w:pPr>
        <w:pStyle w:val="style23"/>
      </w:pPr>
      <w:r>
        <w:rPr/>
        <w:t xml:space="preserve">Функции учителя как наставника и консультанта: </w:t>
      </w:r>
    </w:p>
    <w:p>
      <w:pPr>
        <w:pStyle w:val="style23"/>
      </w:pPr>
      <w:r>
        <w:rPr/>
        <w:t>осуществляет общее руководство образовательным процессом ученика, его построением и ходом реализации;</w:t>
      </w:r>
    </w:p>
    <w:p>
      <w:pPr>
        <w:pStyle w:val="style23"/>
      </w:pPr>
      <w:r>
        <w:rPr/>
        <w:t>заботится о создании необходимых условий для осуществления образования и самообразования в школе и дома;</w:t>
      </w:r>
    </w:p>
    <w:p>
      <w:pPr>
        <w:pStyle w:val="style23"/>
      </w:pPr>
      <w:r>
        <w:rPr/>
        <w:t>прививает ученику интерес к самообразованию и навыки самостоятельной учебной работы;</w:t>
      </w:r>
    </w:p>
    <w:p>
      <w:pPr>
        <w:pStyle w:val="style23"/>
      </w:pPr>
      <w:r>
        <w:rPr/>
        <w:t>поощряет ростки творческого подхода к учебе;</w:t>
      </w:r>
    </w:p>
    <w:p>
      <w:pPr>
        <w:pStyle w:val="style23"/>
      </w:pPr>
      <w:r>
        <w:rPr/>
        <w:t xml:space="preserve">рекомендует дополнительную литературу по своему предмету. </w:t>
      </w:r>
    </w:p>
    <w:p>
      <w:pPr>
        <w:pStyle w:val="style23"/>
      </w:pPr>
      <w:r>
        <w:rPr/>
        <w:t>Дома можно поразмыслить над вопросом подольше.</w:t>
      </w:r>
    </w:p>
    <w:p>
      <w:pPr>
        <w:pStyle w:val="style23"/>
      </w:pPr>
      <w:r>
        <w:rPr/>
        <w:t xml:space="preserve">обратная связь существует на каждом уроке. Она дает возможность вовремя оказывать помощь ученику. </w:t>
      </w:r>
    </w:p>
    <w:p>
      <w:pPr>
        <w:pStyle w:val="style23"/>
      </w:pPr>
      <w:r>
        <w:rPr/>
        <w:t>Итак, положительные качества ИЛО:</w:t>
      </w:r>
    </w:p>
    <w:p>
      <w:pPr>
        <w:pStyle w:val="style23"/>
        <w:numPr>
          <w:ilvl w:val="0"/>
          <w:numId w:val="5"/>
        </w:numPr>
      </w:pPr>
      <w:r>
        <w:rPr/>
        <w:t xml:space="preserve">полное прочтение материала учеником (медленное чтение);   </w:t>
      </w:r>
    </w:p>
    <w:p>
      <w:pPr>
        <w:pStyle w:val="style23"/>
        <w:numPr>
          <w:ilvl w:val="0"/>
          <w:numId w:val="5"/>
        </w:numPr>
      </w:pPr>
      <w:r>
        <w:rPr/>
        <w:t>выбор ответа;</w:t>
      </w:r>
    </w:p>
    <w:p>
      <w:pPr>
        <w:pStyle w:val="style23"/>
        <w:numPr>
          <w:ilvl w:val="0"/>
          <w:numId w:val="5"/>
        </w:numPr>
      </w:pPr>
      <w:r>
        <w:rPr/>
        <w:t>продумывание ответа и формулировки ответа для записи;</w:t>
      </w:r>
    </w:p>
    <w:p>
      <w:pPr>
        <w:pStyle w:val="style23"/>
        <w:numPr>
          <w:ilvl w:val="0"/>
          <w:numId w:val="5"/>
        </w:numPr>
      </w:pPr>
      <w:r>
        <w:rPr/>
        <w:t>обязательность ответа на все вопросы каждым ребенком в отличие от устного опроса, когда ребенок может не быть опрошенным, поэтому часто отвлекается, не думает;</w:t>
      </w:r>
    </w:p>
    <w:p>
      <w:pPr>
        <w:pStyle w:val="style23"/>
        <w:numPr>
          <w:ilvl w:val="0"/>
          <w:numId w:val="5"/>
        </w:numPr>
      </w:pPr>
      <w:r>
        <w:rPr/>
        <w:t>интимность обучения;</w:t>
      </w:r>
    </w:p>
    <w:p>
      <w:pPr>
        <w:pStyle w:val="style23"/>
        <w:numPr>
          <w:ilvl w:val="0"/>
          <w:numId w:val="5"/>
        </w:numPr>
      </w:pPr>
      <w:r>
        <w:rPr/>
        <w:t>диалог с конкретным учеником;</w:t>
      </w:r>
    </w:p>
    <w:p>
      <w:pPr>
        <w:pStyle w:val="style23"/>
        <w:numPr>
          <w:ilvl w:val="0"/>
          <w:numId w:val="5"/>
        </w:numPr>
      </w:pPr>
      <w:r>
        <w:rPr/>
        <w:t>возможность ставить вопросы, над которыми ребенок может думать дольше 3-5 сек. (обычно учитель ждет ответа на свой вопрос около 3 сек.);</w:t>
      </w:r>
    </w:p>
    <w:p>
      <w:pPr>
        <w:pStyle w:val="style23"/>
        <w:numPr>
          <w:ilvl w:val="0"/>
          <w:numId w:val="5"/>
        </w:numPr>
      </w:pPr>
      <w:r>
        <w:rPr/>
        <w:t>возможность давать дополнительные знания.</w:t>
      </w:r>
    </w:p>
    <w:p>
      <w:pPr>
        <w:pStyle w:val="style23"/>
        <w:numPr>
          <w:ilvl w:val="0"/>
          <w:numId w:val="5"/>
        </w:numPr>
      </w:pPr>
      <w:r>
        <w:rPr/>
        <w:t>Если учащиеся познакомились с новым материалом дома, они могут хорошо проявить себя во время обсуждения на уроке, где закрепляется, расширяется и углубляется полученная информация, упрочить в себе чувство успеха, что особенно важно для слабых детей.</w:t>
      </w:r>
    </w:p>
    <w:p>
      <w:pPr>
        <w:pStyle w:val="style0"/>
      </w:pPr>
      <w:r>
        <w:rPr/>
      </w:r>
    </w:p>
    <w:p>
      <w:pPr>
        <w:pStyle w:val="style23"/>
      </w:pPr>
      <w:r>
        <w:rPr/>
        <w:t>“</w:t>
      </w:r>
      <w:r>
        <w:rPr/>
        <w:t>Самое главное в жизни – уметь учиться” (П. Шеперд)</w:t>
      </w:r>
    </w:p>
    <w:p>
      <w:pPr>
        <w:pStyle w:val="style23"/>
      </w:pPr>
      <w:r>
        <w:rPr/>
        <w:t>Добывание знаний самостоятельно есть первый настоящий труд ребенка, труд творческий, который может помочь ребенку управлять собой.</w:t>
      </w:r>
    </w:p>
    <w:p>
      <w:pPr>
        <w:pStyle w:val="style0"/>
      </w:pPr>
      <w:r>
        <w:rPr/>
        <w:t xml:space="preserve"> </w:t>
      </w:r>
    </w:p>
    <w:p>
      <w:pPr>
        <w:pStyle w:val="style24"/>
      </w:pPr>
      <w:r>
        <w:rPr/>
        <w:t>2.2. Формы работы на уроке.</w:t>
      </w:r>
    </w:p>
    <w:p>
      <w:pPr>
        <w:pStyle w:val="style23"/>
      </w:pPr>
      <w:r>
        <w:rPr/>
        <w:t>Урок рассчитан на 40 минут, в течение которого будут представлены традиционные формы работы, это:</w:t>
      </w:r>
    </w:p>
    <w:p>
      <w:pPr>
        <w:pStyle w:val="style23"/>
        <w:numPr>
          <w:ilvl w:val="0"/>
          <w:numId w:val="7"/>
        </w:numPr>
      </w:pPr>
      <w:r>
        <w:rPr/>
        <w:t>ЛИР (ладоинтонационная работа), включающая как классическую «настройку» в тональности с включением используемых интонационных моделей урока, так и элементы спонтанного творчества.</w:t>
      </w:r>
    </w:p>
    <w:p>
      <w:pPr>
        <w:pStyle w:val="style23"/>
        <w:numPr>
          <w:ilvl w:val="0"/>
          <w:numId w:val="7"/>
        </w:numPr>
      </w:pPr>
      <w:r>
        <w:rPr/>
        <w:t xml:space="preserve">Музицирование в форме пения 6-голосного канона «Подражание Баху» (выученного дома) с сопровождением звучания органа. Цель данного задания не только  спеть канон, но и почувствовать настроение величественной эпохи,  сделав музыкальный старт и создать платформу всего урока, построенному на постепенном переходе от канонов классической гармонии до джазовой и современной.  </w:t>
      </w:r>
    </w:p>
    <w:p>
      <w:pPr>
        <w:pStyle w:val="style23"/>
        <w:numPr>
          <w:ilvl w:val="0"/>
          <w:numId w:val="7"/>
        </w:numPr>
      </w:pPr>
      <w:r>
        <w:rPr/>
        <w:t>Закрепеление материала, и подведение итогов новой темы «Эллипсис в музыке» изученной дома самостоятельно при помощи индивидуальных листов.</w:t>
      </w:r>
    </w:p>
    <w:p>
      <w:pPr>
        <w:pStyle w:val="style23"/>
        <w:numPr>
          <w:ilvl w:val="0"/>
          <w:numId w:val="7"/>
        </w:numPr>
      </w:pPr>
      <w:r>
        <w:rPr/>
        <w:t>Работа над развитием слуха будет представлена  в нескольких заданиях, и тесно связана  со всеми формами работы (интонационные упражнения с предварительным разбором, чтением с листа и т.д.):  закрепление слуховых представлений нового материала на примерах из музыкальной мировой классики, работа над альтерацией в заготовленном диктанте. Важно, чтобы различные элементы теории (аккорды, интервалы…) звучали как «живое слово», в контексте яркой выразительной музыки. Поэтому целесообразно использование, как конструктивных специфических упражнений, так и музыкальных фрагментов произведений разных как по стилистике, так и и по мелодическому и гармоническому языку.</w:t>
      </w:r>
    </w:p>
    <w:p>
      <w:pPr>
        <w:pStyle w:val="style23"/>
        <w:numPr>
          <w:ilvl w:val="0"/>
          <w:numId w:val="7"/>
        </w:numPr>
      </w:pPr>
      <w:r>
        <w:rPr/>
        <w:t xml:space="preserve">Чтение с листа предложенного фрагмента, а затем превратив его в контрапункт к произведению спеть с фонограммой «минус 1". </w:t>
      </w:r>
    </w:p>
    <w:p>
      <w:pPr>
        <w:pStyle w:val="style23"/>
        <w:numPr>
          <w:ilvl w:val="0"/>
          <w:numId w:val="7"/>
        </w:numPr>
      </w:pPr>
      <w:r>
        <w:rPr/>
        <w:t xml:space="preserve">Диктант – правка  это поможет сэкономить время на данном уроке, и использовать диктант как заготовку для пения джазового канона с ритмическим аккомпанементом, так и с обработкой на синтезаторе в стиле – боса новы. </w:t>
      </w:r>
    </w:p>
    <w:p>
      <w:pPr>
        <w:pStyle w:val="style23"/>
        <w:numPr>
          <w:ilvl w:val="0"/>
          <w:numId w:val="7"/>
        </w:numPr>
      </w:pPr>
      <w:r>
        <w:rPr/>
        <w:t>Работа с ритмом также представлена как в предварительной сольмизации некоторых примеров, так и в работе с речевыми пьесами, в которых работает 2 группы учащихся, произнося ритм на разные слоги.</w:t>
      </w:r>
    </w:p>
    <w:p>
      <w:pPr>
        <w:pStyle w:val="style23"/>
        <w:numPr>
          <w:ilvl w:val="0"/>
          <w:numId w:val="7"/>
        </w:numPr>
      </w:pPr>
      <w:r>
        <w:rPr/>
        <w:t xml:space="preserve">Заключительный музыкальный клип с рядом теоретических вопросов, нацелен не только на получение правильных ответов, а также и на творческое восприятие музыкального искусства  в целом, расширение образного мышления и кругозора учащихся. </w:t>
      </w:r>
    </w:p>
    <w:p>
      <w:pPr>
        <w:pStyle w:val="style0"/>
      </w:pPr>
      <w:r>
        <w:rPr/>
      </w:r>
    </w:p>
    <w:p>
      <w:pPr>
        <w:pStyle w:val="style24"/>
        <w:ind w:hanging="0" w:left="360" w:right="0"/>
      </w:pPr>
      <w:r>
        <w:rPr/>
        <w:t>3. Практическая часть.</w:t>
      </w:r>
    </w:p>
    <w:p>
      <w:pPr>
        <w:pStyle w:val="style0"/>
      </w:pPr>
      <w:r>
        <w:rPr>
          <w:b/>
        </w:rPr>
      </w:r>
    </w:p>
    <w:p>
      <w:pPr>
        <w:pStyle w:val="style23"/>
        <w:numPr>
          <w:ilvl w:val="0"/>
          <w:numId w:val="4"/>
        </w:numPr>
      </w:pPr>
      <w:r>
        <w:rPr/>
        <w:t xml:space="preserve">Проверка Домашнего задания: </w:t>
      </w:r>
    </w:p>
    <w:p>
      <w:pPr>
        <w:pStyle w:val="style23"/>
      </w:pPr>
      <w:r>
        <w:rPr/>
        <w:t>Перед пением обсудить: «К какой эпохе можно отнести этот канон?» (сообщить названием после ответом – «Подражание Баху»</w:t>
      </w:r>
    </w:p>
    <w:p>
      <w:pPr>
        <w:pStyle w:val="style23"/>
      </w:pPr>
      <w:r>
        <w:rPr/>
        <w:t xml:space="preserve">а) пение 6-голосного канона с аккомпанементом  (используем на цифровом фортепиано тембр органа)  - приложение 1. </w:t>
      </w:r>
    </w:p>
    <w:p>
      <w:pPr>
        <w:pStyle w:val="style23"/>
      </w:pPr>
      <w:r>
        <w:rPr/>
        <w:t xml:space="preserve">б) разбор гармонической вертикали канона и обобщение-рассуждение на тему классической гармонии времён эпохи Барокко (ясность функций, тяготения с разрешениями… - ответы дают учащиеся) </w:t>
      </w:r>
    </w:p>
    <w:p>
      <w:pPr>
        <w:pStyle w:val="style23"/>
      </w:pPr>
      <w:r>
        <w:rPr/>
        <w:t xml:space="preserve">в)  проверка «ИЛ» (индивидуальных листов) из домашнего задания. Индивидуальные листы представляют собой распечатанные музыкальные фрагменты с наводящими вопросами по новой теме «Элептический оборот, выразительность в музыке», которые учащиеся, имея уже навыки гармонического анализа, прорабатывали дома самостоятельно. Учащиеся озвучивают свои ответы   после проигрывания упражнений с ИЛ преподавателем,  а затем вместе делают выводы и записывают, что такое «элептический оборот»  - приложение 2. </w:t>
      </w:r>
    </w:p>
    <w:p>
      <w:pPr>
        <w:pStyle w:val="style23"/>
      </w:pPr>
      <w:r>
        <w:rPr/>
        <w:t>Элепсис есть и в литературе. Сущность эллипсиса состоит в преднамеренном пропуске слова, предложения, фрагмента речи,  Этим достигается динамичность и сжатость речи, передаётся напряжённая смена действий. Эллипсис – один из видов умолчания. В художественной речи передаёт взволнованность говорящего или напряжённость действия:</w:t>
      </w:r>
    </w:p>
    <w:p>
      <w:pPr>
        <w:pStyle w:val="style23"/>
      </w:pPr>
      <w:r>
        <w:rPr/>
        <w:t xml:space="preserve">При помощи эллипсиса демонстрируется экспрессия, нагнетается напряженность, передается динамика событий. Пример элепсиса в литературном искусстве: </w:t>
        <w:tab/>
      </w:r>
    </w:p>
    <w:p>
      <w:pPr>
        <w:pStyle w:val="style23"/>
      </w:pPr>
      <w:r>
        <w:rPr/>
        <w:t>День в тёмную ночь влюблён,</w:t>
      </w:r>
    </w:p>
    <w:p>
      <w:pPr>
        <w:pStyle w:val="style23"/>
      </w:pPr>
      <w:r>
        <w:rPr/>
        <w:t>В зиму весна влюблена,</w:t>
      </w:r>
    </w:p>
    <w:p>
      <w:pPr>
        <w:pStyle w:val="style23"/>
      </w:pPr>
      <w:r>
        <w:rPr/>
        <w:t>Жизнь — в смерть…</w:t>
      </w:r>
    </w:p>
    <w:p>
      <w:pPr>
        <w:pStyle w:val="style23"/>
      </w:pPr>
      <w:r>
        <w:rPr/>
        <w:t>А ты?.. Ты в меня! ( Г. Гейне. Оставь меня!).</w:t>
      </w:r>
    </w:p>
    <w:p>
      <w:pPr>
        <w:pStyle w:val="style23"/>
      </w:pPr>
      <w:r>
        <w:rPr/>
        <w:t xml:space="preserve"> </w:t>
      </w:r>
      <w:r>
        <w:rPr/>
        <w:t>или</w:t>
      </w:r>
    </w:p>
    <w:p>
      <w:pPr>
        <w:pStyle w:val="style23"/>
      </w:pPr>
      <w:r>
        <w:rPr/>
        <w:t>«Мы сёла – в пепел, грады – в прах,</w:t>
      </w:r>
    </w:p>
    <w:p>
      <w:pPr>
        <w:pStyle w:val="style23"/>
      </w:pPr>
      <w:r>
        <w:rPr/>
        <w:t>В мечи – серпы и плуги…» (В.Жуковский)</w:t>
      </w:r>
    </w:p>
    <w:p>
      <w:pPr>
        <w:pStyle w:val="style0"/>
        <w:ind w:hanging="0" w:left="360" w:right="0"/>
      </w:pPr>
      <w:r>
        <w:rPr/>
      </w:r>
    </w:p>
    <w:p>
      <w:pPr>
        <w:pStyle w:val="style23"/>
        <w:numPr>
          <w:ilvl w:val="0"/>
          <w:numId w:val="4"/>
        </w:numPr>
      </w:pPr>
      <w:r>
        <w:rPr/>
        <w:t xml:space="preserve">Слуховой анализ - (звучит  Ноктюрн  </w:t>
      </w:r>
      <w:r>
        <w:rPr>
          <w:lang w:val="en-US"/>
        </w:rPr>
        <w:t>C</w:t>
      </w:r>
      <w:r>
        <w:rPr/>
        <w:t>-</w:t>
      </w:r>
      <w:r>
        <w:rPr>
          <w:lang w:val="en-US"/>
        </w:rPr>
        <w:t>dur</w:t>
      </w:r>
      <w:r>
        <w:rPr/>
        <w:t xml:space="preserve"> Э.Грига).</w:t>
      </w:r>
    </w:p>
    <w:p>
      <w:pPr>
        <w:pStyle w:val="style23"/>
      </w:pPr>
      <w:r>
        <w:rPr/>
        <w:t>Преподаватель:</w:t>
      </w:r>
    </w:p>
    <w:p>
      <w:pPr>
        <w:pStyle w:val="style23"/>
      </w:pPr>
      <w:r>
        <w:rPr/>
        <w:t>- Я хочу познакомить вас с одним замечательным музыкальным произведением Э.Грига «Ноктюрн». В котором он очень выразительно использовал элептические обороты». Что значит ноктюрн? НОКТЮ́РН — мечтательная, певучая пьеса, как бы навеянная образами ночи (французское nocturne — ночной). Ноктюрн стал настоящей визитной карточкой романтизма. В классической концепции ночь была олицетворением зла, классические произведения заканчивались триумфальной победой света над тьмой. Романтики же, напротив, предпочитали ночь — время, в которое душа открывает свои истинные черты, когда можно мечтать и думать обо всём, созерцая тихую природу, не отягощённую суетой дня.</w:t>
      </w:r>
    </w:p>
    <w:p>
      <w:pPr>
        <w:pStyle w:val="style23"/>
      </w:pPr>
      <w:r>
        <w:rPr/>
        <w:t xml:space="preserve">- Это картина безмятежной ночи – ясной, нежной. Но любая ночь полна тайн.  На фоне мягкой задумчивости – неясная тревога, смятение, которое нарастает и подчёркивается неразрешёнными доминантами. 3 раза звучит Д7 как беспокоящий вопрос, один и тот же , и ответ на него -  всё не тот… </w:t>
      </w:r>
    </w:p>
    <w:p>
      <w:pPr>
        <w:pStyle w:val="style23"/>
      </w:pPr>
      <w:r>
        <w:rPr/>
        <w:t xml:space="preserve">а) Учащиеся  в совместном диалоге с  преподавателем делают общий и  гармонический разбор фрагмента  (средняя часть, цепочка из элептических оборотов) и  выписывают аккорды из Ноктюрна в виде цифровки   на доске. </w:t>
      </w:r>
    </w:p>
    <w:p>
      <w:pPr>
        <w:pStyle w:val="style23"/>
      </w:pPr>
      <w:r>
        <w:rPr/>
        <w:t>б) Пение в 4-х голосии этой последовательности – закрепление темы.</w:t>
      </w:r>
    </w:p>
    <w:p>
      <w:pPr>
        <w:pStyle w:val="style23"/>
      </w:pPr>
      <w:r>
        <w:rPr/>
      </w:r>
    </w:p>
    <w:p>
      <w:pPr>
        <w:pStyle w:val="style23"/>
      </w:pPr>
      <w:r>
        <w:rPr/>
        <w:t xml:space="preserve">Преподаватель </w:t>
      </w:r>
    </w:p>
    <w:p>
      <w:pPr>
        <w:pStyle w:val="style23"/>
      </w:pPr>
      <w:r>
        <w:rPr/>
        <w:t xml:space="preserve"> </w:t>
      </w:r>
      <w:r>
        <w:rPr/>
        <w:t>- переходим к самой неожиданной музыке – джазу.  Что есть основа джаза, как музыки африканской – конечно ритм!</w:t>
      </w:r>
    </w:p>
    <w:p>
      <w:pPr>
        <w:pStyle w:val="style0"/>
        <w:ind w:hanging="0" w:left="360" w:right="0"/>
      </w:pPr>
      <w:r>
        <w:rPr/>
      </w:r>
    </w:p>
    <w:p>
      <w:pPr>
        <w:pStyle w:val="style0"/>
        <w:numPr>
          <w:ilvl w:val="0"/>
          <w:numId w:val="3"/>
        </w:numPr>
      </w:pPr>
      <w:r>
        <w:rPr>
          <w:sz w:val="22"/>
          <w:szCs w:val="22"/>
        </w:rPr>
        <w:t xml:space="preserve">Работа с ритмом по группам – «речевые пьесы»,  произношение ритма на разные слоги. (самба, ча-ча и т.д.) – приложение 4. </w:t>
      </w:r>
    </w:p>
    <w:p>
      <w:pPr>
        <w:pStyle w:val="style0"/>
        <w:numPr>
          <w:ilvl w:val="0"/>
          <w:numId w:val="3"/>
        </w:num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транспонирование гармонической последовательности из задания №2 (Ноктюрн) в B-dur, и пение её (это будет настройкой к диктанту) </w:t>
      </w:r>
    </w:p>
    <w:p>
      <w:pPr>
        <w:pStyle w:val="style0"/>
        <w:numPr>
          <w:ilvl w:val="0"/>
          <w:numId w:val="3"/>
        </w:numPr>
      </w:pPr>
      <w:r>
        <w:rPr>
          <w:sz w:val="22"/>
          <w:szCs w:val="22"/>
        </w:rPr>
        <w:t>Диктант (мелодия «Осенний канон» М.Серебряный B-dur, в ритме босса-новы).  Учащимся раздаются листы с   заготовленной мелодией  без знаков альтерации – расставить знаки – приложение 3</w:t>
      </w:r>
    </w:p>
    <w:p>
      <w:pPr>
        <w:pStyle w:val="style0"/>
        <w:numPr>
          <w:ilvl w:val="0"/>
          <w:numId w:val="3"/>
        </w:numPr>
      </w:pPr>
      <w:r>
        <w:rPr>
          <w:sz w:val="22"/>
          <w:szCs w:val="22"/>
        </w:rPr>
        <w:t xml:space="preserve">Спеть как джазовый канон (с ритмическим аккомпаниментом – ладоши, и ритм на синтезаторе в стиле босса-нова) </w:t>
      </w:r>
    </w:p>
    <w:p>
      <w:pPr>
        <w:pStyle w:val="style0"/>
        <w:numPr>
          <w:ilvl w:val="0"/>
          <w:numId w:val="3"/>
        </w:numPr>
      </w:pPr>
      <w:r>
        <w:rPr>
          <w:sz w:val="22"/>
          <w:szCs w:val="22"/>
        </w:rPr>
        <w:t xml:space="preserve">Чтение с листа. Спеть  мелодию с предварительным анализом тонального плана, формы и т.д.   – приложение 5.  </w:t>
      </w:r>
    </w:p>
    <w:p>
      <w:pPr>
        <w:pStyle w:val="style0"/>
        <w:ind w:hanging="0" w:left="360" w:right="0"/>
      </w:pPr>
      <w:r>
        <w:rPr>
          <w:sz w:val="22"/>
          <w:szCs w:val="22"/>
        </w:rPr>
        <w:t xml:space="preserve">а) эта мелодию использовать как контрапункт к известной композиции из репертуара гр. «Битлз», спеть  «Вчера» по фонограмму «минус» с основной мелодией и контрапунктом к ней. </w:t>
      </w:r>
    </w:p>
    <w:p>
      <w:pPr>
        <w:pStyle w:val="style0"/>
        <w:numPr>
          <w:ilvl w:val="0"/>
          <w:numId w:val="3"/>
        </w:numPr>
      </w:pPr>
      <w:r>
        <w:rPr>
          <w:sz w:val="22"/>
          <w:szCs w:val="22"/>
        </w:rPr>
        <w:t>Преподаватель - Я  хочу  чтобы вы видели музыку во всём, потому что жизнь – это музыка, природа, гармония, красота!!!</w:t>
      </w:r>
    </w:p>
    <w:p>
      <w:pPr>
        <w:pStyle w:val="style0"/>
        <w:ind w:firstLine="348" w:left="360" w:right="0"/>
      </w:pPr>
      <w:r>
        <w:rPr>
          <w:sz w:val="22"/>
          <w:szCs w:val="22"/>
        </w:rPr>
        <w:t xml:space="preserve">Видео-клип с музыкальными вопросами и ответами-выводами учащихся (пройденная тема и др.) </w:t>
      </w:r>
    </w:p>
    <w:p>
      <w:pPr>
        <w:pStyle w:val="style0"/>
        <w:ind w:firstLine="348" w:left="360" w:right="0"/>
      </w:pPr>
      <w:r>
        <w:rPr/>
      </w:r>
    </w:p>
    <w:p>
      <w:pPr>
        <w:pStyle w:val="style0"/>
        <w:pageBreakBefore/>
        <w:ind w:firstLine="348" w:left="360" w:right="0"/>
      </w:pPr>
      <w:r>
        <w:rPr>
          <w:sz w:val="22"/>
          <w:szCs w:val="22"/>
        </w:rPr>
        <w:t>Приложение 1</w:t>
      </w:r>
    </w:p>
    <w:p>
      <w:pPr>
        <w:pStyle w:val="style0"/>
        <w:ind w:firstLine="348" w:left="360" w:right="0"/>
      </w:pPr>
      <w:r>
        <w:rPr>
          <w:sz w:val="22"/>
          <w:szCs w:val="22"/>
        </w:rPr>
        <w:drawing>
          <wp:anchor allowOverlap="1" behindDoc="0" distB="0" distL="0" distR="0" distT="0" layoutInCell="1" locked="0" relativeHeight="1" simplePos="0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5711825" cy="7796530"/>
            <wp:effectExtent b="0" l="0" r="0" t="0"/>
            <wp:wrapSquare wrapText="largest"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779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ind w:firstLine="348" w:left="360" w:right="0"/>
      </w:pPr>
      <w:r>
        <w:rPr>
          <w:sz w:val="22"/>
          <w:szCs w:val="22"/>
        </w:rPr>
      </w:r>
    </w:p>
    <w:p>
      <w:pPr>
        <w:pStyle w:val="style0"/>
        <w:pageBreakBefore/>
        <w:ind w:firstLine="348" w:left="360" w:right="0"/>
      </w:pPr>
      <w:r>
        <w:rPr/>
        <w:t>Приложение 2 (материал не весь)</w:t>
      </w:r>
    </w:p>
    <w:p>
      <w:pPr>
        <w:pStyle w:val="style0"/>
        <w:ind w:firstLine="348" w:left="360" w:right="0"/>
      </w:pPr>
      <w:r>
        <w:rPr/>
        <w:drawing>
          <wp:anchor allowOverlap="1" behindDoc="0" distB="0" distL="0" distR="0" distT="0" layoutInCell="1" locked="0" relativeHeight="2" simplePos="0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5711825" cy="4283710"/>
            <wp:effectExtent b="0" l="0" r="0" t="0"/>
            <wp:wrapSquare wrapText="largest"/>
            <wp:docPr descr="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ind w:firstLine="348" w:left="360" w:right="0"/>
      </w:pPr>
      <w:r>
        <w:rPr/>
        <w:drawing>
          <wp:anchor allowOverlap="1" behindDoc="0" distB="0" distL="0" distR="0" distT="0" layoutInCell="1" locked="0" relativeHeight="3" simplePos="0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5711825" cy="3550285"/>
            <wp:effectExtent b="0" l="0" r="0" t="0"/>
            <wp:wrapSquare wrapText="largest"/>
            <wp:docPr descr="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55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ind w:firstLine="348" w:left="360" w:right="0"/>
      </w:pPr>
      <w:r>
        <w:rPr/>
        <w:drawing>
          <wp:anchor allowOverlap="1" behindDoc="0" distB="0" distL="0" distR="0" distT="0" layoutInCell="1" locked="0" relativeHeight="4" simplePos="0">
            <wp:simplePos x="0" y="0"/>
            <wp:positionH relativeFrom="column">
              <wp:posOffset>104140</wp:posOffset>
            </wp:positionH>
            <wp:positionV relativeFrom="paragraph">
              <wp:posOffset>27305</wp:posOffset>
            </wp:positionV>
            <wp:extent cx="5711825" cy="4787900"/>
            <wp:effectExtent b="0" l="0" r="0" t="0"/>
            <wp:wrapTopAndBottom/>
            <wp:docPr descr="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23"/>
      </w:pPr>
      <w:r>
        <w:rPr/>
        <w:t xml:space="preserve">Вопросы к ИЛ: </w:t>
      </w:r>
    </w:p>
    <w:p>
      <w:pPr>
        <w:pStyle w:val="style23"/>
      </w:pPr>
      <w:r>
        <w:rPr/>
        <w:t>Изучи музыкальный материал и ответь на предложенные вопросы:</w:t>
      </w:r>
    </w:p>
    <w:p>
      <w:pPr>
        <w:pStyle w:val="style0"/>
        <w:numPr>
          <w:ilvl w:val="1"/>
          <w:numId w:val="8"/>
        </w:numPr>
      </w:pPr>
      <w:r>
        <w:rPr>
          <w:sz w:val="22"/>
          <w:szCs w:val="22"/>
        </w:rPr>
        <w:t>Сформулируй, что общего во всех выделенных гармонических оборотах?</w:t>
      </w:r>
    </w:p>
    <w:p>
      <w:pPr>
        <w:pStyle w:val="style0"/>
        <w:numPr>
          <w:ilvl w:val="1"/>
          <w:numId w:val="8"/>
        </w:numPr>
      </w:pPr>
      <w:r>
        <w:rPr>
          <w:sz w:val="22"/>
          <w:szCs w:val="22"/>
        </w:rPr>
        <w:t>Один из них тебе известен  а примере, как он называется? (речь о прерванном обороте)</w:t>
      </w:r>
    </w:p>
    <w:p>
      <w:pPr>
        <w:pStyle w:val="style0"/>
        <w:ind w:hanging="0" w:left="1080" w:right="0"/>
      </w:pPr>
      <w:r>
        <w:rPr>
          <w:sz w:val="22"/>
          <w:szCs w:val="22"/>
        </w:rPr>
        <w:t>А) подумай и попробуй объяснить смысл названия этого гармонического оборота?</w:t>
      </w:r>
    </w:p>
    <w:p>
      <w:pPr>
        <w:pStyle w:val="style0"/>
        <w:ind w:hanging="0" w:left="1080" w:right="0"/>
      </w:pPr>
      <w:r>
        <w:rPr>
          <w:sz w:val="22"/>
          <w:szCs w:val="22"/>
        </w:rPr>
        <w:t>Б) Можно ли все предложенные обороты отнести по смыслу к данному типу гармонических оборотов?</w:t>
      </w:r>
    </w:p>
    <w:p>
      <w:pPr>
        <w:pStyle w:val="style0"/>
        <w:ind w:hanging="0" w:left="1080" w:right="0"/>
      </w:pPr>
      <w:r>
        <w:rPr>
          <w:sz w:val="22"/>
          <w:szCs w:val="22"/>
        </w:rPr>
        <w:t>3. Подчеркни слова с которыми у тебя ассоциируется звучание этих гармонических оборотов: предсказуемость, фокус, законченность, неожиданность, спокойствие, сюрприз, развитие, вялость, удивление…</w:t>
      </w:r>
    </w:p>
    <w:p>
      <w:pPr>
        <w:pStyle w:val="style0"/>
        <w:ind w:hanging="0" w:left="1080" w:right="0"/>
      </w:pPr>
      <w:r>
        <w:rPr>
          <w:sz w:val="22"/>
          <w:szCs w:val="22"/>
        </w:rPr>
        <w:t xml:space="preserve">Продолжи свои ассоциации. </w:t>
      </w:r>
    </w:p>
    <w:p>
      <w:pPr>
        <w:pStyle w:val="style0"/>
        <w:ind w:hanging="0" w:left="1080" w:right="0"/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3.  А как бы ты назвал обороты подобного типа?</w:t>
      </w:r>
    </w:p>
    <w:p>
      <w:pPr>
        <w:pStyle w:val="style0"/>
        <w:ind w:hanging="0" w:left="1080" w:right="0"/>
      </w:pPr>
      <w:r>
        <w:rPr>
          <w:sz w:val="22"/>
          <w:szCs w:val="22"/>
        </w:rPr>
      </w:r>
    </w:p>
    <w:p>
      <w:pPr>
        <w:pStyle w:val="style23"/>
      </w:pPr>
      <w:r>
        <w:rPr/>
        <w:t xml:space="preserve"> </w:t>
      </w:r>
      <w:r>
        <w:rPr/>
        <w:tab/>
        <w:t>В классе заполнить вместе с преподавателем:</w:t>
      </w:r>
    </w:p>
    <w:p>
      <w:pPr>
        <w:pStyle w:val="style23"/>
      </w:pPr>
      <w:r>
        <w:rPr/>
        <w:t>ЭЛЕПСИС – слово знакомое? Из словаря (не музыкального) Элепсис – намеренный пропуск несущественных слов в предложении без искажения его смысла, а часто для усиления смысла и эффекта.</w:t>
      </w:r>
    </w:p>
    <w:p>
      <w:pPr>
        <w:pStyle w:val="style23"/>
      </w:pPr>
      <w:r>
        <w:rPr/>
        <w:t>Ответь на вопросы:</w:t>
      </w:r>
    </w:p>
    <w:p>
      <w:pPr>
        <w:pStyle w:val="style0"/>
        <w:numPr>
          <w:ilvl w:val="1"/>
          <w:numId w:val="9"/>
        </w:numPr>
      </w:pPr>
      <w:r>
        <w:rPr>
          <w:sz w:val="22"/>
          <w:szCs w:val="22"/>
        </w:rPr>
        <w:t>Как это пояснение можно применить к известным уже гармоническим оборотам?</w:t>
      </w:r>
    </w:p>
    <w:p>
      <w:pPr>
        <w:pStyle w:val="style0"/>
        <w:numPr>
          <w:ilvl w:val="1"/>
          <w:numId w:val="9"/>
        </w:numPr>
      </w:pPr>
      <w:r>
        <w:rPr>
          <w:sz w:val="22"/>
          <w:szCs w:val="22"/>
        </w:rPr>
        <w:t>Обобщи всё известное тебе, вставь недостающие по смыслу слова… и утебя получится твоё собственное гармоническое открытие</w:t>
      </w:r>
      <w:r>
        <w:rPr/>
        <w:t>:</w:t>
      </w:r>
    </w:p>
    <w:p>
      <w:pPr>
        <w:pStyle w:val="style23"/>
      </w:pPr>
      <w:r>
        <w:rPr/>
        <w:t>В гармонии словом-__________обозначается явление, когда ________________</w:t>
      </w:r>
    </w:p>
    <w:p>
      <w:pPr>
        <w:pStyle w:val="style23"/>
      </w:pPr>
      <w:r>
        <w:rPr/>
        <w:t>созвучие_____________разрешается в другое неустойчивое, т.е. когда разрешение неустойчивого аккорда не приносит______________.</w:t>
      </w:r>
    </w:p>
    <w:p>
      <w:pPr>
        <w:pStyle w:val="style23"/>
      </w:pPr>
      <w:r>
        <w:rPr/>
        <w:t>Напиши сочетания аккордов, которые можно отнести к твоему правилу.</w:t>
      </w:r>
    </w:p>
    <w:p>
      <w:pPr>
        <w:pStyle w:val="style23"/>
      </w:pPr>
      <w:r>
        <w:rPr/>
        <w:t>________________________________________________________________</w:t>
      </w:r>
    </w:p>
    <w:p>
      <w:pPr>
        <w:pStyle w:val="style23"/>
      </w:pPr>
      <w:r>
        <w:rPr/>
        <w:t xml:space="preserve">Кстати, невредно ещё вспомнить, что недавно «пройденные» нами двойные доминанты звучат и устроены в общем-то так же, как и доминанты, а значит, с ними тоже можно проделывать эти «обманные движения». Кроме того, есть ещё один приём, который легко проделывать с двойной доминантой. Называется он «дезальтерация», -снятие альтерации,  по аналогии со словом «дезактивация» или «дезинфекция». Ведь двойная доминанта по природе не что иное как альтерированная, искажённая субдоминанта, в ней обострены тяготения звуков. Ну, а дезальтерируя её, мы снимаем напряжение, но не разрешаем этот аккорд в положенную ему доминанту, а временно уводим его в сторону. </w:t>
      </w:r>
    </w:p>
    <w:p>
      <w:pPr>
        <w:pStyle w:val="style23"/>
      </w:pPr>
      <w:r>
        <w:rPr/>
        <w:t>а)Сделай это сам в любых 3 тональностях на выбор и послушай как это будет звучать.</w:t>
      </w:r>
    </w:p>
    <w:p>
      <w:pPr>
        <w:pStyle w:val="style23"/>
      </w:pPr>
      <w:r>
        <w:rPr/>
        <w:t xml:space="preserve">Приложение 3 </w:t>
      </w:r>
    </w:p>
    <w:p>
      <w:pPr>
        <w:pStyle w:val="style23"/>
      </w:pPr>
      <w:r>
        <w:rPr/>
        <w:drawing>
          <wp:anchor allowOverlap="1" behindDoc="0" distB="0" distL="0" distR="0" distT="0" layoutInCell="1" locked="0" relativeHeight="5" simplePos="0">
            <wp:simplePos x="0" y="0"/>
            <wp:positionH relativeFrom="column">
              <wp:posOffset>112395</wp:posOffset>
            </wp:positionH>
            <wp:positionV relativeFrom="paragraph">
              <wp:posOffset>0</wp:posOffset>
            </wp:positionV>
            <wp:extent cx="5715000" cy="5086350"/>
            <wp:effectExtent b="0" l="0" r="0" t="0"/>
            <wp:wrapSquare wrapText="largest"/>
            <wp:docPr descr=""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ind w:hanging="0" w:left="1080" w:right="0"/>
      </w:pPr>
      <w:r>
        <w:rPr/>
      </w:r>
    </w:p>
    <w:p>
      <w:pPr>
        <w:pStyle w:val="style0"/>
        <w:pageBreakBefore/>
        <w:ind w:hanging="0" w:left="1080" w:right="0"/>
      </w:pPr>
      <w:r>
        <w:rPr>
          <w:sz w:val="22"/>
          <w:szCs w:val="22"/>
        </w:rPr>
        <w:t>Приложение 4 (материал не весь)</w:t>
      </w:r>
    </w:p>
    <w:p>
      <w:pPr>
        <w:pStyle w:val="style0"/>
        <w:ind w:firstLine="348" w:left="360" w:right="0"/>
      </w:pPr>
      <w:r>
        <w:rPr/>
        <w:drawing>
          <wp:anchor allowOverlap="1" behindDoc="0" distB="0" distL="0" distR="0" distT="0" layoutInCell="1" locked="0" relativeHeight="6" simplePos="0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5711825" cy="2360295"/>
            <wp:effectExtent b="0" l="0" r="0" t="0"/>
            <wp:wrapSquare wrapText="largest"/>
            <wp:docPr descr=""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5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ind w:hanging="0" w:left="0" w:right="0"/>
      </w:pPr>
      <w:r>
        <w:rPr>
          <w:sz w:val="22"/>
          <w:szCs w:val="22"/>
        </w:rPr>
        <w:t>Приложение 5</w:t>
      </w:r>
    </w:p>
    <w:p>
      <w:pPr>
        <w:pStyle w:val="style0"/>
        <w:ind w:firstLine="348" w:left="360" w:right="0"/>
      </w:pPr>
      <w:r>
        <w:rPr/>
        <w:drawing>
          <wp:inline distB="0" distL="0" distR="0" distT="0">
            <wp:extent cx="5098415" cy="5822315"/>
            <wp:effectExtent b="0" l="0" r="0" t="0"/>
            <wp:docPr descr=""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6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582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type w:val="nextPage"/>
      <w:pgSz w:h="16838" w:w="11906"/>
      <w:pgMar w:bottom="1134" w:footer="0" w:gutter="0" w:header="0" w:left="1701" w:right="850" w:top="1134"/>
      <w:pgNumType w:fmt="decimal"/>
      <w:formProt w:val="false"/>
      <w:textDirection w:val="lrTb"/>
      <w:docGrid w:charSpace="0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Myriad Pro">
    <w:charset w:val="80"/>
    <w:family w:val="auto"/>
    <w:pitch w:val="default"/>
  </w:font>
</w:fonts>
</file>

<file path=word/numbering.xml><?xml version="1.0" encoding="utf-8"?>
<w:numbering xmlns:w="http://schemas.openxmlformats.org/wordprocessingml/2006/main">
  <w:abstractNum w:abstractNumId="1">
    <w:lvl w:ilvl="0">
      <w:start w:val="1"/>
      <w:numFmt w:val="decimal"/>
      <w:lvlText w:val="%1."/>
      <w:lvlJc w:val="left"/>
      <w:pPr>
        <w:tabs>
          <w:tab w:pos="720" w:val="num"/>
        </w:tabs>
        <w:ind w:hanging="360" w:left="720"/>
      </w:pPr>
      <w:rPr>
        <w:b/>
      </w:rPr>
    </w:lvl>
  </w:abstractNum>
  <w:abstractNum w:abstractNumId="2">
    <w:lvl w:ilvl="0">
      <w:start w:val="1"/>
      <w:numFmt w:val="decimal"/>
      <w:lvlText w:val="%1."/>
      <w:lvlJc w:val="left"/>
      <w:pPr>
        <w:ind w:hanging="360" w:left="1287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pos="720" w:val="num"/>
        </w:tabs>
        <w:ind w:hanging="360" w:left="720"/>
      </w:pPr>
    </w:lvl>
  </w:abstractNum>
  <w:abstractNum w:abstractNumId="4">
    <w:lvl w:ilvl="0">
      <w:start w:val="1"/>
      <w:numFmt w:val="decimal"/>
      <w:lvlText w:val="%1."/>
      <w:lvlJc w:val="left"/>
      <w:pPr>
        <w:ind w:hanging="360" w:left="1287"/>
      </w:pPr>
    </w:lvl>
  </w:abstractNum>
  <w:abstractNum w:abstractNumId="5">
    <w:lvl w:ilvl="0">
      <w:start w:val="1"/>
      <w:numFmt w:val="decimal"/>
      <w:lvlText w:val="%1."/>
      <w:lvlJc w:val="left"/>
      <w:pPr>
        <w:ind w:hanging="360" w:left="1287"/>
      </w:pPr>
    </w:lvl>
  </w:abstractNum>
  <w:abstractNum w:abstractNumId="6">
    <w:lvl w:ilvl="0">
      <w:start w:val="1"/>
      <w:numFmt w:val="decimal"/>
      <w:lvlText w:val="%1."/>
      <w:lvlJc w:val="left"/>
      <w:pPr>
        <w:tabs>
          <w:tab w:pos="1065" w:val="num"/>
        </w:tabs>
        <w:ind w:hanging="360" w:left="1065"/>
      </w:pPr>
    </w:lvl>
  </w:abstractNum>
  <w:abstractNum w:abstractNumId="7">
    <w:lvl w:ilvl="0">
      <w:start w:val="1"/>
      <w:numFmt w:val="decimal"/>
      <w:lvlText w:val="%1."/>
      <w:lvlJc w:val="left"/>
      <w:pPr>
        <w:ind w:hanging="360" w:left="1287"/>
      </w:pPr>
    </w:lvl>
  </w:abstractNum>
  <w:abstractNum w:abstractNumId="8">
    <w:lvl w:ilvl="0">
      <w:start w:val="1"/>
      <w:numFmt w:val="decimal"/>
      <w:lvlText w:val="%1."/>
      <w:lvlJc w:val="left"/>
      <w:pPr>
        <w:tabs>
          <w:tab w:pos="720" w:val="num"/>
        </w:tabs>
        <w:ind w:hanging="360" w:left="720"/>
      </w:pPr>
      <w:rPr>
        <w:b/>
      </w:rPr>
    </w:lvl>
    <w:lvl w:ilvl="1">
      <w:start w:val="1"/>
      <w:numFmt w:val="decimal"/>
      <w:lvlText w:val="%2."/>
      <w:lvlJc w:val="left"/>
      <w:pPr>
        <w:tabs>
          <w:tab w:pos="1440" w:val="num"/>
        </w:tabs>
        <w:ind w:hanging="360" w:left="1440"/>
      </w:pPr>
      <w:rPr/>
    </w:lvl>
    <w:lvl w:ilvl="2">
      <w:start w:val="1"/>
      <w:numFmt w:val="decimal"/>
      <w:lvlText w:val="%3."/>
      <w:lvlJc w:val="left"/>
      <w:pPr>
        <w:tabs>
          <w:tab w:pos="2160" w:val="num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pos="2880" w:val="num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pos="3600" w:val="num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pos="4320" w:val="num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pos="5040" w:val="num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pos="5760" w:val="num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pos="6480" w:val="num"/>
        </w:tabs>
        <w:ind w:hanging="360" w:left="6480"/>
      </w:pPr>
    </w:lvl>
  </w:abstractNum>
  <w:abstractNum w:abstractNumId="9">
    <w:lvl w:ilvl="0">
      <w:start w:val="1"/>
      <w:numFmt w:val="decimal"/>
      <w:lvlText w:val="%1."/>
      <w:lvlJc w:val="left"/>
      <w:pPr>
        <w:tabs>
          <w:tab w:pos="720" w:val="num"/>
        </w:tabs>
        <w:ind w:hanging="360" w:left="720"/>
      </w:pPr>
    </w:lvl>
    <w:lvl w:ilvl="1">
      <w:start w:val="1"/>
      <w:numFmt w:val="decimal"/>
      <w:lvlText w:val="%2."/>
      <w:lvlJc w:val="left"/>
      <w:pPr>
        <w:tabs>
          <w:tab w:pos="1440" w:val="num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pos="2160" w:val="num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pos="2880" w:val="num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pos="3600" w:val="num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pos="4320" w:val="num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pos="5040" w:val="num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pos="5760" w:val="num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pos="6480" w:val="num"/>
        </w:tabs>
        <w:ind w:hanging="360" w:left="6480"/>
      </w:pPr>
    </w:lvl>
  </w:abstractNum>
  <w:abstractNum w:abstractNumId="10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abstractNum w:abstractNumId="11">
    <w:lvl w:ilvl="0">
      <w:start w:val="1"/>
      <w:numFmt w:val="decimal"/>
      <w:lvlText w:val="%1."/>
      <w:lvlJc w:val="left"/>
      <w:pPr>
        <w:tabs>
          <w:tab w:pos="1065" w:val="num"/>
        </w:tabs>
        <w:ind w:hanging="360" w:left="1065"/>
      </w:pPr>
    </w:lvl>
    <w:lvl w:ilvl="1">
      <w:start w:val="1"/>
      <w:numFmt w:val="decimal"/>
      <w:lvlText w:val="%2."/>
      <w:lvlJc w:val="left"/>
      <w:pPr>
        <w:tabs>
          <w:tab w:pos="1440" w:val="num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pos="2160" w:val="num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pos="2880" w:val="num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pos="3600" w:val="num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pos="4320" w:val="num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pos="5040" w:val="num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pos="5760" w:val="num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pos="6480" w:val="num"/>
        </w:tabs>
        <w:ind w:hanging="360" w:left="6480"/>
      </w:pPr>
    </w:lvl>
  </w:abstractNum>
  <w:abstractNum w:abstractNumId="12">
    <w:lvl w:ilvl="0">
      <w:start w:val="1"/>
      <w:numFmt w:val="decimal"/>
      <w:lvlText w:val="%1."/>
      <w:lvlJc w:val="left"/>
      <w:pPr>
        <w:tabs>
          <w:tab w:pos="720" w:val="num"/>
        </w:tabs>
        <w:ind w:hanging="360" w:left="720"/>
      </w:pPr>
      <w:rPr>
        <w:b/>
      </w:rPr>
    </w:lvl>
    <w:lvl w:ilvl="1">
      <w:start w:val="1"/>
      <w:numFmt w:val="decimal"/>
      <w:lvlText w:val="%2."/>
      <w:lvlJc w:val="left"/>
      <w:pPr>
        <w:tabs>
          <w:tab w:pos="1440" w:val="num"/>
        </w:tabs>
        <w:ind w:hanging="360" w:left="1440"/>
      </w:pPr>
      <w:rPr/>
    </w:lvl>
    <w:lvl w:ilvl="2">
      <w:start w:val="1"/>
      <w:numFmt w:val="decimal"/>
      <w:lvlText w:val="%3."/>
      <w:lvlJc w:val="left"/>
      <w:pPr>
        <w:tabs>
          <w:tab w:pos="2160" w:val="num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pos="2880" w:val="num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pos="3600" w:val="num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pos="4320" w:val="num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pos="5040" w:val="num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pos="5760" w:val="num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pos="6480" w:val="num"/>
        </w:tabs>
        <w:ind w:hanging="360" w:left="6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w="http://schemas.openxmlformats.org/wordprocessingml/2006/main">
  <w:zoom w:percent="140"/>
  <w:defaultTabStop w:val="708"/>
</w:setting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/>
      <w:tabs/>
      <w:suppressAutoHyphens w:val="true"/>
    </w:pPr>
    <w:rPr>
      <w:rFonts w:ascii="Times New Roman" w:cs="Times New Roman" w:eastAsia="Times New Roman" w:hAnsi="Times New Roman"/>
      <w:color w:val="auto"/>
      <w:sz w:val="24"/>
      <w:szCs w:val="24"/>
      <w:lang w:bidi="ar-SA" w:eastAsia="zh-CN" w:val="ru-RU"/>
    </w:rPr>
  </w:style>
  <w:style w:styleId="style15" w:type="character">
    <w:name w:val="WW8Num1z0"/>
    <w:next w:val="style15"/>
    <w:rPr>
      <w:b/>
    </w:rPr>
  </w:style>
  <w:style w:styleId="style16" w:type="character">
    <w:name w:val="WW8Num1z1"/>
    <w:next w:val="style16"/>
    <w:rPr>
      <w:rFonts w:ascii="Times New Roman" w:cs="Times New Roman" w:eastAsia="Times New Roman" w:hAnsi="Times New Roman"/>
    </w:rPr>
  </w:style>
  <w:style w:styleId="style17" w:type="character">
    <w:name w:val="Основной шрифт абзаца"/>
    <w:next w:val="style17"/>
    <w:rPr/>
  </w:style>
  <w:style w:styleId="style18" w:type="paragraph">
    <w:name w:val="Заголовок"/>
    <w:basedOn w:val="style0"/>
    <w:next w:val="style19"/>
    <w:pPr>
      <w:keepNext/>
      <w:spacing w:after="120" w:before="240"/>
      <w:contextualSpacing w:val="false"/>
    </w:pPr>
    <w:rPr>
      <w:rFonts w:ascii="Myriad Pro" w:cs="Mangal" w:eastAsia="Microsoft YaHei" w:hAnsi="Myriad Pro"/>
      <w:sz w:val="28"/>
      <w:szCs w:val="28"/>
    </w:rPr>
  </w:style>
  <w:style w:styleId="style19" w:type="paragraph">
    <w:name w:val="Основной текст"/>
    <w:basedOn w:val="style0"/>
    <w:next w:val="style19"/>
    <w:pPr>
      <w:spacing w:after="120" w:before="0"/>
      <w:contextualSpacing w:val="false"/>
    </w:pPr>
    <w:rPr/>
  </w:style>
  <w:style w:styleId="style20" w:type="paragraph">
    <w:name w:val="Список"/>
    <w:basedOn w:val="style19"/>
    <w:next w:val="style20"/>
    <w:pPr/>
    <w:rPr>
      <w:rFonts w:ascii="Myriad Pro" w:cs="Mangal" w:hAnsi="Myriad Pro"/>
    </w:rPr>
  </w:style>
  <w:style w:styleId="style21" w:type="paragraph">
    <w:name w:val="Название"/>
    <w:basedOn w:val="style0"/>
    <w:next w:val="style21"/>
    <w:pPr>
      <w:suppressLineNumbers/>
      <w:spacing w:after="120" w:before="120"/>
      <w:contextualSpacing w:val="false"/>
    </w:pPr>
    <w:rPr>
      <w:rFonts w:ascii="Myriad Pro" w:cs="Mangal" w:hAnsi="Myriad Pro"/>
      <w:i/>
      <w:iCs/>
      <w:sz w:val="24"/>
      <w:szCs w:val="24"/>
    </w:rPr>
  </w:style>
  <w:style w:styleId="style22" w:type="paragraph">
    <w:name w:val="Указатель"/>
    <w:basedOn w:val="style0"/>
    <w:next w:val="style22"/>
    <w:pPr>
      <w:suppressLineNumbers/>
    </w:pPr>
    <w:rPr>
      <w:rFonts w:ascii="Myriad Pro" w:cs="Mangal" w:hAnsi="Myriad Pro"/>
    </w:rPr>
  </w:style>
  <w:style w:styleId="style23" w:type="paragraph">
    <w:name w:val="а_Текст"/>
    <w:basedOn w:val="style0"/>
    <w:next w:val="style23"/>
    <w:pPr>
      <w:spacing w:after="60" w:before="60"/>
      <w:ind w:firstLine="567" w:left="0" w:right="0"/>
      <w:contextualSpacing w:val="false"/>
    </w:pPr>
    <w:rPr>
      <w:sz w:val="22"/>
    </w:rPr>
  </w:style>
  <w:style w:styleId="style24" w:type="paragraph">
    <w:name w:val="а_2_Заголовок"/>
    <w:basedOn w:val="style0"/>
    <w:next w:val="style23"/>
    <w:pPr>
      <w:spacing w:after="0" w:before="120"/>
      <w:ind w:firstLine="567" w:left="0" w:right="0"/>
      <w:contextualSpacing w:val="false"/>
    </w:pPr>
    <w:rPr>
      <w:b/>
    </w:rPr>
  </w:style>
  <w:style w:styleId="style25" w:type="paragraph">
    <w:name w:val="а_Авторы"/>
    <w:basedOn w:val="style0"/>
    <w:next w:val="style0"/>
    <w:pPr>
      <w:spacing w:after="0" w:before="120"/>
      <w:contextualSpacing w:val="false"/>
      <w:jc w:val="right"/>
    </w:pPr>
    <w:rPr>
      <w:b/>
      <w:i/>
    </w:rPr>
  </w:style>
  <w:style w:styleId="style26" w:type="paragraph">
    <w:name w:val="а_Учреждение"/>
    <w:basedOn w:val="style0"/>
    <w:next w:val="style0"/>
    <w:pPr>
      <w:jc w:val="right"/>
    </w:pPr>
    <w:rPr>
      <w:i/>
      <w:sz w:val="22"/>
    </w:rPr>
  </w:style>
  <w:style w:styleId="style27" w:type="paragraph">
    <w:name w:val="а_Заголовок"/>
    <w:basedOn w:val="style0"/>
    <w:next w:val="style0"/>
    <w:pPr>
      <w:spacing w:after="0" w:before="120"/>
      <w:contextualSpacing w:val="false"/>
      <w:jc w:val="center"/>
    </w:pPr>
    <w:rPr>
      <w:b/>
      <w:sz w:val="2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11220</TotalTime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2012-05-13T17:31:00.00Z</dcterms:created>
  <dc:creator>venom</dc:creator>
  <cp:lastModifiedBy>4</cp:lastModifiedBy>
  <dcterms:modified xsi:type="dcterms:W3CDTF">2014-08-25T14:54:00.00Z</dcterms:modified>
  <cp:revision>11</cp:revision>
</cp:coreProperties>
</file>