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5.jpeg" ContentType="image/jpeg"/>
  <Override PartName="/word/media/image46.jpeg" ContentType="image/jpeg"/>
  <Override PartName="/word/media/image57.jpeg" ContentType="image/jpeg"/>
  <Override PartName="/word/media/image63.jpeg" ContentType="image/jpeg"/>
  <Override PartName="/word/media/image59.jpeg" ContentType="image/jpeg"/>
  <Override PartName="/word/media/image37.jpeg" ContentType="image/jpeg"/>
  <Override PartName="/word/media/image48.jpeg" ContentType="image/jpeg"/>
  <Override PartName="/word/media/image65.jpeg" ContentType="image/jpeg"/>
  <Override PartName="/word/media/image50.jpeg" ContentType="image/jpeg"/>
  <Override PartName="/word/media/image67.jpeg" ContentType="image/jpeg"/>
  <Override PartName="/word/media/image41.jpeg" ContentType="image/jpeg"/>
  <Override PartName="/word/media/image52.jpeg" ContentType="image/jpeg"/>
  <Override PartName="/word/media/image69.jpeg" ContentType="image/jpeg"/>
  <Override PartName="/word/media/image32.jpeg" ContentType="image/jpeg"/>
  <Override PartName="/word/media/image43.jpeg" ContentType="image/jpeg"/>
  <Override PartName="/word/media/image54.jpeg" ContentType="image/jpeg"/>
  <Override PartName="/word/media/image39.jpeg" ContentType="image/jpeg"/>
  <Override PartName="/word/media/image60.jpeg" ContentType="image/jpeg"/>
  <Override PartName="/word/media/image34.jpeg" ContentType="image/jpeg"/>
  <Override PartName="/word/media/image45.jpeg" ContentType="image/jpeg"/>
  <Override PartName="/word/media/image56.jpeg" ContentType="image/jpeg"/>
  <Override PartName="/word/media/image62.jpeg" ContentType="image/jpeg"/>
  <Override PartName="/word/media/image58.jpeg" ContentType="image/jpeg"/>
  <Override PartName="/word/media/image36.jpeg" ContentType="image/jpeg"/>
  <Override PartName="/word/media/image47.jpeg" ContentType="image/jpeg"/>
  <Override PartName="/word/media/image64.jpeg" ContentType="image/jpeg"/>
  <Override PartName="/word/media/image49.jpeg" ContentType="image/jpeg"/>
  <Override PartName="/word/media/image66.jpeg" ContentType="image/jpeg"/>
  <Override PartName="/word/media/image40.jpeg" ContentType="image/jpeg"/>
  <Override PartName="/word/media/image51.jpeg" ContentType="image/jpeg"/>
  <Override PartName="/word/media/image68.jpeg" ContentType="image/jpeg"/>
  <Override PartName="/word/media/image42.jpeg" ContentType="image/jpeg"/>
  <Override PartName="/word/media/image53.jpeg" ContentType="image/jpeg"/>
  <Override PartName="/word/media/image38.jpeg" ContentType="image/jpeg"/>
  <Override PartName="/word/media/image70.jpeg" ContentType="image/jpeg"/>
  <Override PartName="/word/media/image33.jpeg" ContentType="image/jpeg"/>
  <Override PartName="/word/media/image44.jpeg" ContentType="image/jpeg"/>
  <Override PartName="/word/media/image55.jpeg" ContentType="image/jpeg"/>
  <Override PartName="/word/media/image6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"/>
        <w:spacing w:after="120" w:before="480"/>
        <w:contextualSpacing w:val="false"/>
      </w:pPr>
      <w:r>
        <w:rPr/>
        <w:t xml:space="preserve">Конюхова Татьяна Владимировна, </w:t>
      </w:r>
    </w:p>
    <w:p>
      <w:pPr>
        <w:pStyle w:val="style33"/>
      </w:pPr>
      <w:r>
        <w:rPr/>
        <w:t xml:space="preserve">МБОУ ДОД « ДМШ №41», </w:t>
      </w:r>
    </w:p>
    <w:p>
      <w:pPr>
        <w:pStyle w:val="style33"/>
      </w:pPr>
      <w:r>
        <w:rPr/>
        <w:t>г. Прокопьевск Кемеровской области</w:t>
      </w:r>
    </w:p>
    <w:p>
      <w:pPr>
        <w:pStyle w:val="style34"/>
      </w:pPr>
      <w:r>
        <w:rPr/>
        <w:t>Развитие навыков чтения с листа на уроках фортепиано.</w:t>
      </w:r>
    </w:p>
    <w:p>
      <w:pPr>
        <w:pStyle w:val="style34"/>
      </w:pPr>
      <w:r>
        <w:rPr/>
        <w:t>Методическое сообщение.</w:t>
      </w:r>
    </w:p>
    <w:p>
      <w:pPr>
        <w:pStyle w:val="style35"/>
      </w:pPr>
      <w:r>
        <w:rPr/>
        <w:t>Введение</w:t>
      </w:r>
    </w:p>
    <w:p>
      <w:pPr>
        <w:pStyle w:val="style35"/>
      </w:pPr>
      <w:r>
        <w:rPr/>
        <w:t>Настоящее время выдвигает все новые и новые требования в отношении усовершенствования содержания обучения, активации методов развития учащихся и подготовки их к самостоятельной работе. Все с большей остротой ставится вопрос о совершенствовании эстетического воспитания учащихся.</w:t>
      </w:r>
    </w:p>
    <w:p>
      <w:pPr>
        <w:pStyle w:val="style35"/>
      </w:pPr>
      <w:r>
        <w:rPr/>
        <w:t>Значительное место в эстетическом развитии принадлежит обучению игре на инструменте и приобретению умений самостоятельно разбираться в музыкальном материале.</w:t>
      </w:r>
    </w:p>
    <w:p>
      <w:pPr>
        <w:pStyle w:val="style35"/>
      </w:pPr>
      <w:r>
        <w:rPr/>
        <w:t>Художественное развитие, расширение общего кругозора и воспитание музыкального вкуса учащихся зависит от возможности и широко знакомится с музыкальной литературой. В детской музыкальной школе ученику должны прививаться основные навыки, которые помогут ему в дальнейшем развитии и становлении музыканта. Наряду с занятиями по специальности учащийся должен играть в ансамблях, заниматься аккомпанементом, читкой с листа, подбором по слуху, транспонированием.</w:t>
      </w:r>
    </w:p>
    <w:p>
      <w:pPr>
        <w:pStyle w:val="style35"/>
      </w:pPr>
      <w:r>
        <w:rPr/>
        <w:t>Чтение с листа является одной из важнейших проблем музыкального образования. Умение ученика самостоятельно и грамотно разбираться в нотном тексте, значительно активизирует процесс работы, который ведется по двум, тесно связанным, но несколько различным направлениям: развитие навыка тщательного разбора (анализа) и навыке беглого чтения с листа. В результате этого создаются необходимые условия для расширения музыкального кругозора учащегося. Предпосылками грамотного и осмысленного разбора являются осознание ладотональности, метроритма, умение охватывать мелодические фразы, заметить и правильно истолковать все имеющиеся в тексте знаки и авторские ремарки, внимательное отношение к аппликатуре, понимание ее значения, не только для устройства игры, но и для передачи верной фразировки голосоведения.</w:t>
      </w:r>
    </w:p>
    <w:p>
      <w:pPr>
        <w:pStyle w:val="style35"/>
      </w:pPr>
      <w:r>
        <w:rPr/>
        <w:t>Очень важно начинать занятия по чтению с листа с самого начала обучения учащегося. Педагог вначале дает очень простые, а затем постепенно усложняющиеся задания по разбору текста. Систематическая работа в этом направлении позволит со временем потребовать от ученика самостоятельного, осмысленного и тщательного разбора. Параллельно с навыками тщательного разбора и на базе этих навыков необходимо развивать беглое чтение с листа, основанное на умении охватывать главное в музыкальной ткани, умении непрерывно вести музыкальную линию, не позволяя себе каких-либо поправок и остановок. Уверенная и быстрая реакция на нотные знаки, свободная ориентировка на клавиатуре, аппликатурная находчивость, охват все более протяжных фраз являются непременным условием успешного овладения навыком чтения с листа.</w:t>
      </w:r>
    </w:p>
    <w:p>
      <w:pPr>
        <w:pStyle w:val="style36"/>
      </w:pPr>
      <w:r>
        <w:rPr/>
        <w:t>Необходимость развития навыка чтения с листа.</w:t>
      </w:r>
    </w:p>
    <w:p>
      <w:pPr>
        <w:pStyle w:val="style35"/>
      </w:pPr>
      <w:r>
        <w:rPr/>
        <w:t>О пользе чтения с листа для развития учащегося музыкальная педагогика была осведомлена с давних пор.</w:t>
      </w:r>
    </w:p>
    <w:p>
      <w:pPr>
        <w:pStyle w:val="style35"/>
      </w:pPr>
      <w:r>
        <w:rPr/>
        <w:t>В чем же конкретно состоит польза чтения с листа?</w:t>
      </w:r>
    </w:p>
    <w:p>
      <w:pPr>
        <w:pStyle w:val="style35"/>
      </w:pPr>
      <w:r>
        <w:rPr/>
        <w:t>В силу, каких причин оно оказывается способным стимулировать общемузыкальное развитие учащегося?</w:t>
      </w:r>
    </w:p>
    <w:p>
      <w:pPr>
        <w:pStyle w:val="style35"/>
      </w:pPr>
      <w:r>
        <w:rPr/>
        <w:t>Чтение с листа представляет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музыкантом, регулярно практикующимся в чтении с листа, нескончаемой и пестрой вереницей проходят произведения различных авторов, художественных стилей, исторических эпох. При чтении с листа происходит постоянная и быстрая смена новых музыкальных впечатлений, «открытий», интересный приток богатой и разнохарактерной музыкальной информации.</w:t>
      </w:r>
    </w:p>
    <w:p>
      <w:pPr>
        <w:pStyle w:val="style35"/>
      </w:pPr>
      <w:r>
        <w:rPr/>
        <w:t>Занятия чтением с листа способствует обогащению, качественному улучшению музыкального мышления.</w:t>
      </w:r>
    </w:p>
    <w:p>
      <w:pPr>
        <w:pStyle w:val="style35"/>
      </w:pPr>
      <w:r>
        <w:rPr/>
        <w:t>При чтении с листа отчетливо выявляют себя следующие основные дидактические принципы:</w:t>
      </w:r>
    </w:p>
    <w:p>
      <w:pPr>
        <w:pStyle w:val="style35"/>
      </w:pPr>
      <w:r>
        <w:rPr/>
        <w:t>а) увеличение объема используемого в учении музыкального материала;</w:t>
      </w:r>
    </w:p>
    <w:p>
      <w:pPr>
        <w:pStyle w:val="style35"/>
      </w:pPr>
      <w:r>
        <w:rPr/>
        <w:t>б) ускорение темпов его прохождения.</w:t>
      </w:r>
    </w:p>
    <w:p>
      <w:pPr>
        <w:pStyle w:val="style35"/>
      </w:pPr>
      <w:r>
        <w:rPr/>
        <w:t>Овладение специальными приемами и способами, призванными облегчить прочитывание, ведут к значительному повышению «коэффициента полезного действия» самостоятельной работы учащегося.</w:t>
      </w:r>
    </w:p>
    <w:p>
      <w:pPr>
        <w:pStyle w:val="style35"/>
      </w:pPr>
      <w:r>
        <w:rPr/>
        <w:t>Чтение с листа вырабатывает необходимые пианистические качества: свободную ориентировку на клавиатуре, что способствует развитию техники, общую свободу, мгновенную отзывчивость игрового аппарата на нотный текст, слухомоторную связь.</w:t>
      </w:r>
    </w:p>
    <w:p>
      <w:pPr>
        <w:pStyle w:val="style36"/>
      </w:pPr>
      <w:r>
        <w:rPr/>
        <w:t>Принципы и методы развития навыка чтения с листа</w:t>
      </w:r>
    </w:p>
    <w:p>
      <w:pPr>
        <w:pStyle w:val="style35"/>
      </w:pPr>
      <w:r>
        <w:rPr/>
        <w:t>Успешное развитие чтения с листа заключается в быстром графическом восприятии нотной записи и мгновенном воспроизведении ее на инструменте.</w:t>
      </w:r>
    </w:p>
    <w:p>
      <w:pPr>
        <w:pStyle w:val="style35"/>
      </w:pPr>
      <w:r>
        <w:rPr/>
        <w:t>Чтение ребенком нотной записи – дело непростое. Процесс этот необходимо разделить на стадии, не принимаясь сразу же и за высотную, и за временную сторону нотного письма.</w:t>
      </w:r>
    </w:p>
    <w:p>
      <w:pPr>
        <w:pStyle w:val="style35"/>
      </w:pPr>
      <w:r>
        <w:rPr/>
        <w:t>Начинать следует именно с ритмики, а не звуковысотной линии, хотя бы уже потому, что, не овладев на практике прочтением некоторых метроритмических формул, ребенок вообще не научится читать нотный текст, а будет лишь разбирать отдельные звуковысотные обозначения. Словесный текст, прочитанный даже по слогам, обычно не теряет смысла. Музыкальный же текст, чтобы быть понятным, обязательно должен быть прочитан в своей временной организации, метроритмической упорядоченности.</w:t>
      </w:r>
    </w:p>
    <w:p>
      <w:pPr>
        <w:pStyle w:val="style35"/>
      </w:pPr>
      <w:r>
        <w:rPr/>
        <w:t>Поэтому занятия с ребенком мы начинаем с воспитания чувства временной упорядоченности, без чего невозможна никакая фортепиано-педагогическая работа с учеником: ни обучение осмысленному исполнению, ни формирование его инструментальной техники.</w:t>
      </w:r>
    </w:p>
    <w:p>
      <w:pPr>
        <w:pStyle w:val="style35"/>
      </w:pPr>
      <w:r>
        <w:rPr/>
        <w:t>Не фиксируя пока его внимание на чередование разных долей – сильных и слабых, мы добиваемся сначала переживания и осознания равномерности музыкального пульса, мерного следования метрических долей, или, как мы говорим ребенку, «шагов, которые слышны в музыке».</w:t>
      </w:r>
    </w:p>
    <w:p>
      <w:pPr>
        <w:pStyle w:val="style35"/>
      </w:pPr>
      <w:r>
        <w:rPr/>
        <w:t>И сразу после того, как, ученик, мерно прошагав и, прохлопав в ладоши тактовые доли, ощутил или, лучше сказать, «пережил», равномерную пульсацию, мы обращаемся к простейшему способу записи «шагов» к записи палочками, располагая их, на равномерном расстоянии друг от друга.</w:t>
      </w:r>
    </w:p>
    <w:p>
      <w:pPr>
        <w:pStyle w:val="style35"/>
      </w:pPr>
      <w:r>
        <w:rPr/>
        <w:t>Теперь ребенок не вышагивает и не прохлопывает доли, а только к ним прислушивается и одновременно с ними под звуки марша обозначает доли палочками.</w:t>
      </w:r>
    </w:p>
    <w:p>
      <w:pPr>
        <w:pStyle w:val="style35"/>
      </w:pPr>
      <w:r>
        <w:rPr/>
        <w:t>Такая фиксация долей зримыми вертикальными линиями, с одной стороны, помогает более интенсивному ощущению пульсации и ее осознанию, с другой стороны и закладывает основы будущей ритмической записи.</w:t>
      </w:r>
    </w:p>
    <w:p>
      <w:pPr>
        <w:pStyle w:val="style35"/>
      </w:pPr>
      <w:r>
        <w:rPr/>
        <w:t>Обращение к словесной речи и ее ритмизации – важное подспорье для понимания музыкально-ритмических соотношений.</w:t>
      </w:r>
    </w:p>
    <w:p>
      <w:pPr>
        <w:pStyle w:val="style35"/>
      </w:pPr>
      <w:r>
        <w:rPr/>
        <w:t>Восьмые и четверти – вот исходное соотношение длительностей, их сочетание в двухдольном размере должны быть в первую очередь освоены учеником, освоены – прочувствованы как временные протяженности, как формулы – стереотипы, которые легко прочесть, а не как арифметически «высчитываемые» категории.</w:t>
      </w:r>
    </w:p>
    <w:p>
      <w:pPr>
        <w:pStyle w:val="style35"/>
      </w:pPr>
      <w:r>
        <w:rPr/>
        <w:t>На материале песен и детского стишка с ясно выраженной ритмикой восьмых и четвертей ребенок учится записывать и читать простейшие соотношения.</w:t>
      </w:r>
    </w:p>
    <w:p>
      <w:pPr>
        <w:pStyle w:val="style35"/>
      </w:pPr>
      <w:r>
        <w:rPr/>
        <w:t>Пример: правая рука</w:t>
      </w:r>
    </w:p>
    <w:p>
      <w:pPr>
        <w:pStyle w:val="style35"/>
      </w:pPr>
      <w:r>
        <w:rPr/>
        <w:t>л</w:t>
        <w:drawing>
          <wp:anchor allowOverlap="1" behindDoc="0" distB="0" distL="0" distR="0" distT="0" layoutInCell="1" locked="0" relativeHeight="37" simplePos="0">
            <wp:simplePos x="0" y="0"/>
            <wp:positionH relativeFrom="character">
              <wp:posOffset>3891915</wp:posOffset>
            </wp:positionH>
            <wp:positionV relativeFrom="line">
              <wp:posOffset>161925</wp:posOffset>
            </wp:positionV>
            <wp:extent cx="809625" cy="419100"/>
            <wp:effectExtent b="0" l="0" r="0" t="0"/>
            <wp:wrapSquare wrapText="bothSides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евая рука</w:t>
        <w:tab/>
        <w:tab/>
        <w:tab/>
        <w:tab/>
        <w:tab/>
        <w:tab/>
        <w:tab/>
      </w:r>
    </w:p>
    <w:p>
      <w:pPr>
        <w:pStyle w:val="style35"/>
      </w:pPr>
      <w:r>
        <w:rPr/>
        <w:t xml:space="preserve"> </w:t>
      </w:r>
      <w:r>
        <w:rPr/>
        <w:drawing>
          <wp:inline distB="0" distL="0" distR="0" distT="0">
            <wp:extent cx="475615" cy="25717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 xml:space="preserve"> </w:t>
      </w:r>
      <w:r>
        <w:rPr/>
        <w:t>раз, два</w:t>
      </w:r>
    </w:p>
    <w:p>
      <w:pPr>
        <w:pStyle w:val="style35"/>
      </w:pPr>
      <w:r>
        <w:rPr/>
        <w:t xml:space="preserve"> </w:t>
      </w:r>
      <w:r>
        <w:rPr/>
        <w:drawing>
          <wp:inline distB="0" distL="0" distR="0" distT="0">
            <wp:extent cx="657225" cy="390525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  <w:t xml:space="preserve"> </w:t>
      </w:r>
      <w:r>
        <w:rPr/>
        <w:drawing>
          <wp:inline distB="0" distL="0" distR="0" distT="0">
            <wp:extent cx="628015" cy="304165"/>
            <wp:effectExtent b="0" l="0" r="0" t="0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 xml:space="preserve"> </w:t>
      </w:r>
      <w:r>
        <w:rPr/>
        <w:t>три, четыре -</w:t>
        <w:tab/>
        <w:tab/>
        <w:tab/>
        <w:tab/>
        <w:tab/>
        <w:tab/>
        <w:t xml:space="preserve"> мы приплыли,</w:t>
      </w:r>
    </w:p>
    <w:p>
      <w:pPr>
        <w:pStyle w:val="style35"/>
      </w:pPr>
      <w:r>
        <w:rPr/>
        <w:t xml:space="preserve"> </w:t>
      </w:r>
      <w:r>
        <w:rPr/>
        <w:drawing>
          <wp:inline distB="0" distL="0" distR="0" distT="0">
            <wp:extent cx="532765" cy="247015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4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  <w:tab/>
        <w:t xml:space="preserve"> </w:t>
      </w:r>
      <w:r>
        <w:rPr/>
        <w:drawing>
          <wp:inline distB="0" distL="0" distR="0" distT="0">
            <wp:extent cx="533400" cy="323215"/>
            <wp:effectExtent b="0" l="0" r="0" t="0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 xml:space="preserve"> </w:t>
      </w:r>
      <w:r>
        <w:rPr/>
        <w:t xml:space="preserve">пять, шесть - </w:t>
        <w:tab/>
        <w:tab/>
        <w:tab/>
        <w:tab/>
        <w:t xml:space="preserve"> сходим здесь.</w:t>
      </w:r>
    </w:p>
    <w:p>
      <w:pPr>
        <w:pStyle w:val="style35"/>
      </w:pPr>
      <w:r>
        <w:rPr/>
        <w:t xml:space="preserve"> </w:t>
      </w:r>
      <w:r>
        <w:rPr/>
        <w:drawing>
          <wp:inline distB="0" distL="0" distR="0" distT="0">
            <wp:extent cx="762000" cy="276225"/>
            <wp:effectExtent b="0" l="0" r="0" t="0"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ab/>
        <w:tab/>
        <w:tab/>
        <w:tab/>
        <w:tab/>
        <w:tab/>
        <w:t xml:space="preserve"> </w:t>
      </w:r>
      <w:r>
        <w:rPr/>
        <w:drawing>
          <wp:inline distB="0" distL="0" distR="0" distT="0">
            <wp:extent cx="561340" cy="370840"/>
            <wp:effectExtent b="0" l="0" r="0" t="0"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 xml:space="preserve"> </w:t>
      </w:r>
      <w:r>
        <w:rPr/>
        <w:t>семь, восемь -</w:t>
        <w:tab/>
        <w:tab/>
        <w:tab/>
        <w:tab/>
        <w:tab/>
        <w:tab/>
        <w:t xml:space="preserve"> сколько сосен!</w:t>
      </w:r>
    </w:p>
    <w:p>
      <w:pPr>
        <w:pStyle w:val="style35"/>
      </w:pPr>
      <w:r>
        <w:rPr/>
        <w:t xml:space="preserve"> </w:t>
        <w:drawing>
          <wp:anchor allowOverlap="1" behindDoc="0" distB="0" distL="0" distR="0" distT="0" layoutInCell="1" locked="0" relativeHeight="38" simplePos="0">
            <wp:simplePos x="0" y="0"/>
            <wp:positionH relativeFrom="character">
              <wp:posOffset>139065</wp:posOffset>
            </wp:positionH>
            <wp:positionV relativeFrom="line">
              <wp:posOffset>81915</wp:posOffset>
            </wp:positionV>
            <wp:extent cx="638175" cy="361950"/>
            <wp:effectExtent b="0" l="0" r="0" t="0"/>
            <wp:wrapSquare wrapText="bothSides"/>
            <wp:docPr descr="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35"/>
      </w:pPr>
      <w:r>
        <w:rPr/>
        <w:t xml:space="preserve"> </w:t>
      </w:r>
      <w:r>
        <w:rPr/>
        <w:drawing>
          <wp:inline distB="0" distL="0" distR="0" distT="0">
            <wp:extent cx="494665" cy="323215"/>
            <wp:effectExtent b="0" l="0" r="0" t="0"/>
            <wp:docPr descr=""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32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 xml:space="preserve"> </w:t>
      </w:r>
      <w:r>
        <w:rPr/>
        <w:t>девять, десять -</w:t>
        <w:tab/>
        <w:tab/>
        <w:tab/>
        <w:tab/>
        <w:tab/>
        <w:tab/>
        <w:t xml:space="preserve"> я в пути.</w:t>
      </w:r>
    </w:p>
    <w:p>
      <w:pPr>
        <w:pStyle w:val="style35"/>
      </w:pPr>
      <w:r>
        <w:rPr/>
        <w:tab/>
        <w:tab/>
        <w:tab/>
        <w:tab/>
        <w:t xml:space="preserve"> Обе руки</w:t>
      </w:r>
    </w:p>
    <w:p>
      <w:pPr>
        <w:pStyle w:val="style35"/>
      </w:pPr>
      <w:r>
        <w:rPr/>
        <w:drawing>
          <wp:inline distB="0" distL="0" distR="0" distT="0">
            <wp:extent cx="962025" cy="314325"/>
            <wp:effectExtent b="0" l="0" r="0" t="0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780415" cy="294640"/>
            <wp:effectExtent b="0" l="0" r="0" t="0"/>
            <wp:docPr descr=""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 xml:space="preserve"> </w:t>
      </w:r>
      <w:r>
        <w:rPr/>
        <w:tab/>
        <w:t xml:space="preserve"> </w:t>
        <w:tab/>
        <w:t xml:space="preserve"> досчитал до десяти!</w:t>
      </w:r>
    </w:p>
    <w:p>
      <w:pPr>
        <w:pStyle w:val="style35"/>
      </w:pPr>
      <w:r>
        <w:rPr/>
        <w:t>При освоении ритма мы пользуемся широко распространенной системой ритмослогов. Каждая длительность получает свое слоговое обозначение.</w:t>
      </w:r>
    </w:p>
    <w:p>
      <w:pPr>
        <w:pStyle w:val="style35"/>
      </w:pPr>
      <w:r>
        <w:rPr/>
        <w:t>В сознании ученика звуковая протяженность связывается с ее кратчайшим наименованием. Создаются ритмические стереотипы, значительно облегчающие прочтение ритмической записи, и притом без всякого счета. Другие длительности осваиваются также как четверти и восьмые. Постепенно усложняется ритмический рисунок и доводится до автоматизма.</w:t>
      </w:r>
    </w:p>
    <w:p>
      <w:pPr>
        <w:pStyle w:val="style35"/>
      </w:pPr>
      <w:r>
        <w:rPr/>
        <w:t>Можно воспользоваться для развития метроритма системой Белецкого.</w:t>
      </w:r>
    </w:p>
    <w:p>
      <w:pPr>
        <w:pStyle w:val="style35"/>
      </w:pPr>
      <w:r>
        <w:rPr/>
        <w:t>Пример: Работа по таблице Белецкого.</w:t>
      </w:r>
    </w:p>
    <w:p>
      <w:pPr>
        <w:pStyle w:val="style0"/>
        <w:jc w:val="both"/>
      </w:pPr>
      <w:r>
        <w:rPr/>
      </w:r>
    </w:p>
    <w:tbl>
      <w:tblPr>
        <w:jc w:val="left"/>
        <w:tblInd w:type="dxa" w:w="-11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3150"/>
        <w:gridCol w:w="3237"/>
        <w:gridCol w:w="3161"/>
      </w:tblGrid>
      <w:tr>
        <w:trPr>
          <w:trHeight w:hRule="atLeast" w:val="488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85925" cy="285750"/>
                  <wp:effectExtent b="0" l="0" r="0" t="0"/>
                  <wp:docPr descr=""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203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95450" cy="285750"/>
                  <wp:effectExtent b="0" l="0" r="0" t="0"/>
                  <wp:docPr descr=""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284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580515" cy="400050"/>
                  <wp:effectExtent b="0" l="0" r="0" t="0"/>
                  <wp:docPr descr=""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2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66240" cy="227965"/>
                  <wp:effectExtent b="0" l="0" r="0" t="0"/>
                  <wp:docPr descr=""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09725" cy="227965"/>
                  <wp:effectExtent b="0" l="0" r="0" t="0"/>
                  <wp:docPr descr=""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284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113790" cy="227965"/>
                  <wp:effectExtent b="0" l="0" r="0" t="0"/>
                  <wp:docPr descr=""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47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66875" cy="276225"/>
                  <wp:effectExtent b="0" l="0" r="0" t="0"/>
                  <wp:docPr descr=""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203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495425" cy="276225"/>
                  <wp:effectExtent b="0" l="0" r="0" t="0"/>
                  <wp:docPr descr=""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390650" cy="276225"/>
                  <wp:effectExtent b="0" l="0" r="0" t="0"/>
                  <wp:docPr descr=""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445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66875" cy="227965"/>
                  <wp:effectExtent b="0" l="0" r="0" t="0"/>
                  <wp:docPr descr=""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857375" cy="227965"/>
                  <wp:effectExtent b="0" l="0" r="0" t="0"/>
                  <wp:docPr descr="" id="2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firstLine="141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724025" cy="371475"/>
                  <wp:effectExtent b="0" l="0" r="0" t="0"/>
                  <wp:docPr descr="" id="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401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firstLine="142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590040" cy="257175"/>
                  <wp:effectExtent b="0" l="0" r="0" t="0"/>
                  <wp:docPr descr="" id="2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09725" cy="323215"/>
                  <wp:effectExtent b="0" l="0" r="0" t="0"/>
                  <wp:docPr descr="" id="2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237615" cy="323215"/>
                  <wp:effectExtent b="0" l="0" r="0" t="0"/>
                  <wp:docPr descr="" id="2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32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434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590040" cy="266700"/>
                  <wp:effectExtent b="0" l="0" r="0" t="0"/>
                  <wp:docPr descr="" id="2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856740" cy="247015"/>
                  <wp:effectExtent b="0" l="0" r="0" t="0"/>
                  <wp:docPr descr="" id="2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24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143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580515" cy="361315"/>
                  <wp:effectExtent b="0" l="0" r="0" t="0"/>
                  <wp:docPr descr="" id="2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36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434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firstLine="142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343025" cy="257175"/>
                  <wp:effectExtent b="0" l="0" r="0" t="0"/>
                  <wp:docPr descr="" id="3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203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09090" cy="266065"/>
                  <wp:effectExtent b="0" l="0" r="0" t="0"/>
                  <wp:docPr descr="" id="3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firstLine="141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009015" cy="361950"/>
                  <wp:effectExtent b="0" l="0" r="0" t="0"/>
                  <wp:docPr descr="" id="3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422"/>
          <w:cantSplit w:val="false"/>
        </w:trPr>
        <w:tc>
          <w:tcPr>
            <w:tcW w:type="dxa" w:w="315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66875" cy="276225"/>
                  <wp:effectExtent b="0" l="0" r="0" t="0"/>
                  <wp:docPr descr="" id="3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3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ind w:hanging="345" w:left="0" w:right="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943100" cy="342265"/>
                  <wp:effectExtent b="0" l="0" r="0" t="0"/>
                  <wp:docPr descr="" id="3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16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lang w:eastAsia="ru-RU" w:val="ru-RU"/>
              </w:rPr>
              <w:drawing>
                <wp:inline distB="0" distL="0" distR="0" distT="0">
                  <wp:extent cx="1656715" cy="342265"/>
                  <wp:effectExtent b="0" l="0" r="0" t="0"/>
                  <wp:docPr descr="" id="3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715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35"/>
      </w:pPr>
      <w:r>
        <w:rPr/>
        <w:t>В музыке есть много ритмических готовых формул и умение безошибочно находить их в нотном тексте, облегчает чтение с листа. После ритмического освоения мы переходим к графическому восприятию нотной записи.</w:t>
      </w:r>
    </w:p>
    <w:p>
      <w:pPr>
        <w:pStyle w:val="style35"/>
      </w:pPr>
      <w:r>
        <w:rPr/>
        <w:t>Если мы проанализируем свое восприятие нотного текста, то поймем, что воспринимаем нотный текст «графически», т.е. мы высчитываем, на какой линеечке находится нота, а видим сразу всю гамму, арпеджио, интервалы, аккорды. Не всматриваемся в каждую ноту аккорда, а видим расположение нот, и пальцы сами выстраивают его!</w:t>
      </w:r>
    </w:p>
    <w:p>
      <w:pPr>
        <w:pStyle w:val="style35"/>
      </w:pPr>
      <w:r>
        <w:rPr/>
        <w:t>Остается следить или за нижней, или за верхней нотой в аккорде. Такая легкость чтения с листа приходит с годами.</w:t>
      </w:r>
    </w:p>
    <w:p>
      <w:pPr>
        <w:pStyle w:val="style35"/>
      </w:pPr>
      <w:r>
        <w:rPr/>
        <w:t>Опыт работы показал, что можно всех без исключения научить легко, читать с листа. Нужно с первого урока учить ребенка видеть нотный текст вперед, анализировать его, т.е. «видеть графически».</w:t>
      </w:r>
    </w:p>
    <w:p>
      <w:pPr>
        <w:pStyle w:val="style35"/>
      </w:pPr>
      <w:r>
        <w:rPr/>
        <w:t>Необходимо добиться прямой связи: вижу ноту – нажимаю на клавишу, не вспоминая, как называется эта нота; научить видеть общий рисунок движения нот в их взаимосвязи. Дети знакомятся с записью нот сразу на десяти линейках и первой дополнительной, связующей, на которой пишется нота «до» первой октавы.</w:t>
      </w:r>
    </w:p>
    <w:p>
      <w:pPr>
        <w:pStyle w:val="style35"/>
      </w:pPr>
      <w:r>
        <w:rPr/>
        <w:t>Научить графическому восприятию нотной записи помогут следующие упражнения:</w:t>
      </w:r>
    </w:p>
    <w:p>
      <w:pPr>
        <w:pStyle w:val="style35"/>
      </w:pPr>
      <w:r>
        <w:rPr/>
        <w:t>- «Бусы». Запишите ноты от «до» вверх подряд. Ребенок играет, смотря на запись (название при этом не произносится). Аналогично записываются и играются ноты вниз от «до». Зрительно запись напоминает нитку бусинок.</w:t>
      </w:r>
    </w:p>
    <w:p>
      <w:pPr>
        <w:pStyle w:val="style35"/>
      </w:pPr>
      <w:r>
        <w:rPr/>
        <w:t>Закрепить понятие «движение вверх», «движение вниз», «повторяющаяся нота».</w:t>
      </w:r>
    </w:p>
    <w:p>
      <w:pPr>
        <w:pStyle w:val="style35"/>
      </w:pPr>
      <w:r>
        <w:rPr/>
        <w:t>Следует объяснить ребенку, что когда записываются все ноты подряд, то одна нотка «сидит» на линеечке, а другая находится между линеек. Если нота «сидит» на одной и той же линеечке, значит, эта одна и та же клавиша.</w:t>
      </w:r>
    </w:p>
    <w:p>
      <w:pPr>
        <w:pStyle w:val="style36"/>
      </w:pPr>
      <w:r>
        <w:rPr/>
        <w:t>Упражнение:</w:t>
      </w:r>
    </w:p>
    <w:p>
      <w:pPr>
        <w:pStyle w:val="style0"/>
        <w:jc w:val="both"/>
      </w:pPr>
      <w:r>
        <w:rPr>
          <w:lang w:eastAsia="ru-RU" w:val="ru-RU"/>
        </w:rPr>
        <w:drawing>
          <wp:inline distB="0" distL="0" distR="0" distT="0">
            <wp:extent cx="5979160" cy="457200"/>
            <wp:effectExtent b="0" l="0" r="0" t="0"/>
            <wp:docPr descr="" id="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</w:pPr>
      <w:r>
        <w:rPr>
          <w:lang w:eastAsia="ru-RU" w:val="ru-RU"/>
        </w:rPr>
        <w:drawing>
          <wp:inline distB="0" distL="0" distR="0" distT="0">
            <wp:extent cx="5979160" cy="466090"/>
            <wp:effectExtent b="0" l="0" r="0" t="0"/>
            <wp:docPr descr=""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>В следующем упражнении записать два ряда нот: первый ряд – ноты на линейках, второй – ноты между линеек. Объяснить, что они играются через клавишу.</w:t>
      </w:r>
    </w:p>
    <w:p>
      <w:pPr>
        <w:pStyle w:val="style35"/>
      </w:pPr>
      <w:r>
        <w:rPr/>
        <w:t>Запомнить название.</w:t>
      </w:r>
    </w:p>
    <w:p>
      <w:pPr>
        <w:pStyle w:val="style35"/>
      </w:pPr>
      <w:r>
        <w:rPr/>
        <w:t>1-й ряд – до, ми, соль, си, ре, фа, ля, до и т.д.</w:t>
      </w:r>
    </w:p>
    <w:p>
      <w:pPr>
        <w:pStyle w:val="style35"/>
      </w:pPr>
      <w:r>
        <w:rPr/>
        <w:t>2-й ряд – ре, фа, ля, до, ми, соль, си, ре и т.д.</w:t>
      </w:r>
    </w:p>
    <w:p>
      <w:pPr>
        <w:pStyle w:val="style35"/>
      </w:pPr>
      <w:r>
        <w:rPr/>
        <w:t>Для домашнего задания составляем новые бусы. Дома он должен сыграть их 1 -2 раза без названия нот, следя за записью и анализируя вслух, как движутся ноты. Далее «бусы» играются с произнесением названия нот в следующем порядке: посмотреть на ноту, сыграть ее и назвать, опираясь на знание клавиатуры.</w:t>
      </w:r>
    </w:p>
    <w:p>
      <w:pPr>
        <w:pStyle w:val="style35"/>
      </w:pPr>
      <w:r>
        <w:rPr/>
        <w:t>Объем домашнего задания должен быть большим, т.к. ставится задача не заучить песенки, в читать с листа. На каждом уроке выбираем одну – две опорные нотки, и ребенок зрительно запоминает.</w:t>
      </w:r>
    </w:p>
    <w:p>
      <w:pPr>
        <w:pStyle w:val="style35"/>
      </w:pPr>
      <w:r>
        <w:rPr/>
        <w:t>На следующем этапе, приступаем к знакомству с пьесами и песенками на двух строчках в скрипичном и басовом ключах. Усложняем задание, прибавив ритмическую запись (без тактовых черт).</w:t>
      </w:r>
    </w:p>
    <w:p>
      <w:pPr>
        <w:pStyle w:val="style35"/>
      </w:pPr>
      <w:r>
        <w:rPr/>
        <w:t>Дальнейшее продвижение вперед зависит от личных успехов каждого ученика.</w:t>
      </w:r>
    </w:p>
    <w:p>
      <w:pPr>
        <w:pStyle w:val="style35"/>
      </w:pPr>
      <w:r>
        <w:rPr/>
        <w:t>Новый теоретический материал объясняйте постепенно и только в том случае, если без него нельзя обойтись (диез, бемоль, бекар). После того как ребенок усвоил игру мелодических линий («одинарные бусы»), усложняем задачу. Новые упражнения:</w:t>
      </w:r>
    </w:p>
    <w:p>
      <w:pPr>
        <w:pStyle w:val="style35"/>
      </w:pPr>
      <w:r>
        <w:rPr>
          <w:b/>
          <w:i/>
        </w:rPr>
        <w:t>«Двойные бусы»</w:t>
      </w:r>
      <w:r>
        <w:rPr/>
        <w:t xml:space="preserve"> (терции, кварты, квинты).</w:t>
      </w:r>
    </w:p>
    <w:p>
      <w:pPr>
        <w:pStyle w:val="style35"/>
      </w:pPr>
      <w:r>
        <w:rPr>
          <w:b/>
          <w:i/>
        </w:rPr>
        <w:t>«Тройные бусы»</w:t>
      </w:r>
      <w:r>
        <w:rPr/>
        <w:t xml:space="preserve"> (если маленькая рука – играть нужно двумя).</w:t>
      </w:r>
    </w:p>
    <w:p>
      <w:pPr>
        <w:pStyle w:val="style0"/>
        <w:ind w:firstLine="426" w:left="0" w:right="0"/>
        <w:jc w:val="both"/>
      </w:pPr>
      <w:r>
        <w:rPr>
          <w:b/>
          <w:i/>
        </w:rPr>
        <w:t>Пример:</w:t>
      </w:r>
      <w:r>
        <w:rPr/>
        <w:t xml:space="preserve"> </w:t>
      </w:r>
    </w:p>
    <w:p>
      <w:pPr>
        <w:pStyle w:val="style0"/>
        <w:jc w:val="both"/>
      </w:pPr>
      <w:r>
        <w:rPr>
          <w:lang w:eastAsia="ru-RU" w:val="ru-RU"/>
        </w:rPr>
        <w:drawing>
          <wp:inline distB="0" distL="0" distR="0" distT="0">
            <wp:extent cx="5981065" cy="962025"/>
            <wp:effectExtent b="0" l="0" r="0" t="0"/>
            <wp:docPr descr="" id="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35"/>
      </w:pPr>
      <w:r>
        <w:rPr/>
        <w:t>Охват текста по горизонтали дается более естественно и легко. Поэтому целесообразно разделить проблему ускоренного охвата текста на два относительно самостоятельных вопроса: восприятие по горизонтали и восприятие по вертикали.</w:t>
      </w:r>
    </w:p>
    <w:p>
      <w:pPr>
        <w:pStyle w:val="style35"/>
      </w:pPr>
      <w:r>
        <w:rPr/>
        <w:t>Этот навык приобретается при помощи специальной тренировки.</w:t>
      </w:r>
    </w:p>
    <w:p>
      <w:pPr>
        <w:pStyle w:val="style35"/>
      </w:pPr>
      <w:r>
        <w:rPr/>
        <w:t>Например, следующие упражнения помогают легко воспринимать вертикаль:</w:t>
      </w:r>
    </w:p>
    <w:p>
      <w:pPr>
        <w:pStyle w:val="style35"/>
      </w:pPr>
      <w:r>
        <w:rPr/>
        <w:t>а) аккордовая последовательность исполняется в форме быстрой гармонической фигурации, начиная от баса;</w:t>
      </w:r>
    </w:p>
    <w:p>
      <w:pPr>
        <w:pStyle w:val="style35"/>
      </w:pPr>
      <w:r>
        <w:rPr/>
        <w:t>б) текст, изложенный в виде гармонической фигурации, играется сомкнутыми аккордами, т.е. «сжимается». При этом вырабатывается умение быстро определять гармоническую логику арпеджированного текста, ускоряя восприятие «развернутой вертикали»;</w:t>
      </w:r>
    </w:p>
    <w:p>
      <w:pPr>
        <w:pStyle w:val="style35"/>
      </w:pPr>
      <w:r>
        <w:rPr/>
        <w:t>в) ученик записывает фортепианную пьесу гомофонного, полифонического или аккордового склада на трех – четырех нотных станах и играет ее по «партитуре».</w:t>
      </w:r>
    </w:p>
    <w:p>
      <w:pPr>
        <w:pStyle w:val="style35"/>
      </w:pPr>
      <w:r>
        <w:rPr/>
        <w:t>Предпосылкой структурного восприятия горизонтами является умение быстро определять синтаксического строение текста. Развитие этого навыка наталкивается на трудности, связанные с тем, что в нотной записи отсутствуют знаки членения (на начальном этапе обучения можно ставить для ученика запятые).</w:t>
      </w:r>
    </w:p>
    <w:p>
      <w:pPr>
        <w:pStyle w:val="style35"/>
      </w:pPr>
      <w:r>
        <w:rPr/>
        <w:t>В тоже время существуют многообразные средства, которые могут служить достоверным признаком расчлененности, а именно: точные или варьированные повторы, вопросо – ответное соотношение фраз т.п.</w:t>
      </w:r>
    </w:p>
    <w:p>
      <w:pPr>
        <w:pStyle w:val="style35"/>
      </w:pPr>
      <w:r>
        <w:rPr/>
        <w:t>При чтении с листа используются некоторые способы сокращений и облегчений. Ученик должен знать и понимать, что при беглом чтении с листа невозможно и не нужно играть абсолютно все. Но следует стремиться, чтобы произведение не пострадало от сокращений. Нельзя сокращать гамму или пассаж, если они являются частью мелодического рисунка. Нельзя сокращать ритмические и гармонические басы, но можно выпускать отдельные звуки в широких аккордах. Нужно быстро определить возможные сокращения во время чтения нот глазами.</w:t>
      </w:r>
    </w:p>
    <w:p>
      <w:pPr>
        <w:pStyle w:val="style35"/>
      </w:pPr>
      <w:r>
        <w:rPr/>
        <w:t>Быстрое воспроизведение на инструменте прочитанного текста заключается в мысленном (зрительном) опережении читающим того что будет исполняться.</w:t>
      </w:r>
    </w:p>
    <w:p>
      <w:pPr>
        <w:pStyle w:val="style35"/>
      </w:pPr>
      <w:r>
        <w:rPr/>
        <w:t>Читающим окидывает взглядом некий отрезок музыкального текста («смотрит вперед»), видит ноты и одновременно трансформирует их с помощью внутреннего слуха в звуковую картину.</w:t>
      </w:r>
    </w:p>
    <w:p>
      <w:pPr>
        <w:pStyle w:val="style35"/>
      </w:pPr>
      <w:r>
        <w:rPr/>
        <w:t>Существенное положение теории и практики чтения с листа выражается в требовании неотрывности взгляда играющего от нотного текста.</w:t>
      </w:r>
    </w:p>
    <w:p>
      <w:pPr>
        <w:pStyle w:val="style35"/>
      </w:pPr>
      <w:r>
        <w:rPr/>
        <w:t>Неотрывность от текста взгляда, читающего музыку тесно связанна с умением играть, не глядя на руки.</w:t>
      </w:r>
    </w:p>
    <w:p>
      <w:pPr>
        <w:pStyle w:val="style35"/>
      </w:pPr>
      <w:r>
        <w:rPr/>
        <w:t>Неспособность музыканта на ощупь ориентироваться на клавиатуре, ведет к тому, что отыскивая пальцами требуемые комбинации и сочетания звуков, он встает перед необходимостью чуть ли не ежесекундно обращать свой взгляд на руки и клавиши. Отрываясь глазами от нотных строчек, читающий, естественно, легко теряет тот фрагмент текста, который исполняется им в данный момент; теряет частично или полностью зрительно – слуховой контроль над музыкальным материалом. Отсюда задержки, запинки. Любимые метания глаз нежелательны и чем их меньше, тем лучше.</w:t>
      </w:r>
    </w:p>
    <w:p>
      <w:pPr>
        <w:pStyle w:val="style35"/>
      </w:pPr>
      <w:r>
        <w:rPr/>
        <w:t xml:space="preserve">Среди упражнений, развивающих навык ускоренного восприятия текста – </w:t>
      </w:r>
      <w:r>
        <w:rPr>
          <w:b/>
          <w:i/>
        </w:rPr>
        <w:t>«фотографирование».</w:t>
      </w:r>
    </w:p>
    <w:p>
      <w:pPr>
        <w:pStyle w:val="style35"/>
      </w:pPr>
      <w:r>
        <w:rPr/>
        <w:t>Оно заключается в следующем: ученику «предъявляется» на несколько секунд и тут же закрывается листом бумаги определенный отрывок текста (мотив, фраза, предложение), который он должен запомнить, мысленно представить в звучании, а затем сыграть. В момент исполнения читается и запоминается уже следующий фрагмент; и так до конца пьесы.</w:t>
      </w:r>
    </w:p>
    <w:p>
      <w:pPr>
        <w:pStyle w:val="style35"/>
      </w:pPr>
      <w:r>
        <w:rPr/>
        <w:t>Важнейший компонент навыка чтения с листа – быстрая и точная двигательная реакция исполнителя на «сигналы» нотного текста. Это весьма сложное умение определяется, во – первых, свободной ориентировкой рук и пальцев на клавиатуре без постоянного зрительного контроля и, во – вторых, - аппликатурной техникой, позволяющей мгновенно, почти автоматически, выбирать наиболее удобный аппликатурный вариант.</w:t>
      </w:r>
    </w:p>
    <w:p>
      <w:pPr>
        <w:pStyle w:val="style35"/>
      </w:pPr>
      <w:r>
        <w:rPr/>
        <w:t>Умению подобрать удобную аппликатуру при чтении нотного текста помогает игра гамм, упражнений, арпеджио, аккордов. При их изучении закрепляется аппликатура. Пианист должен владеть аппликатурными принципами: клавиши подряд – пальчики подряд, исполнение репетиций разными пальцами, избегать 1-го пальца на черных клавишах и т.д.</w:t>
      </w:r>
    </w:p>
    <w:p>
      <w:pPr>
        <w:pStyle w:val="style35"/>
      </w:pPr>
      <w:r>
        <w:rPr/>
        <w:t>Необходимо объяснить ребенку, что каждый палец ставится на свою клавишу. Аппликатура поставлена только в исходных точках, а дальше он может сам поставить номера пальцев.</w:t>
      </w:r>
    </w:p>
    <w:p>
      <w:pPr>
        <w:pStyle w:val="style35"/>
      </w:pPr>
      <w:r>
        <w:rPr/>
        <w:t>Немаловажную роль имеет способствовать предвосхищать развертывание музыкального текста. Чтобы развить у учащихся способность заранее представлять возможное продолжение текста, необходимо помочь ему последовательно освоить закономерности фортепианной музыки, охватывающие различные стилевые направления. Владение стилем при чтении с листа имеет решающее значение. В рамках стиля получают индивидуальное, конкретное преломление лад, мелодика, ритм, фактура, форма, жанр. Поэтому предугадывание определяется, в конечном счете, именно начитанностью музыканта в данном стиле.</w:t>
      </w:r>
    </w:p>
    <w:p>
      <w:pPr>
        <w:pStyle w:val="style35"/>
      </w:pPr>
      <w:r>
        <w:rPr/>
        <w:t>Учитывая возрастные особенности детей в развитии навыков чтения с листа, мы используем принцип «от легкого к трудному». Начинаем с самых простых и доступных одноголосных мелодий, вначале даже без аккомпанемента, затем идем линии усложнения мелодического рисунка и аккомпанемента, включаем элементы многоголосной фактуры, вплоть до полифонии. В начальном периоде обучения для чтения с листа можно использовать ансамбли. Можно пользоваться сборниками «Первые шаги» Майкопара и пьесами из многих советских сборников для начального обучения, в которых достаточно широко представлен ансамблевый материал.</w:t>
      </w:r>
    </w:p>
    <w:p>
      <w:pPr>
        <w:pStyle w:val="style35"/>
      </w:pPr>
      <w:r>
        <w:rPr/>
        <w:t>Работа по чтению с листа не ограничивается начальным периодом обучения, работа должна продолжаться в течение всего времени обучения, постепенно охватывая, богатый и интересный материал оркестровых, оперных и других произведений. Помимо совершенствования навыков чтения с листа, эта работа будет развивать способность охвата произведения в целом, а также – что очень важно – расширять музыкальный кругозор ученика.</w:t>
      </w:r>
    </w:p>
    <w:p>
      <w:pPr>
        <w:pStyle w:val="style36"/>
      </w:pPr>
      <w:r>
        <w:rPr/>
        <w:t>Список литературы</w:t>
      </w:r>
    </w:p>
    <w:p>
      <w:pPr>
        <w:pStyle w:val="style35"/>
        <w:numPr>
          <w:ilvl w:val="0"/>
          <w:numId w:val="2"/>
        </w:numPr>
      </w:pPr>
      <w:r>
        <w:rPr/>
        <w:t xml:space="preserve">Алексеев, А.Д. История фортепианного искусства. М., 1966. </w:t>
      </w:r>
    </w:p>
    <w:p>
      <w:pPr>
        <w:pStyle w:val="style35"/>
        <w:numPr>
          <w:ilvl w:val="0"/>
          <w:numId w:val="2"/>
        </w:numPr>
      </w:pPr>
      <w:r>
        <w:rPr/>
        <w:t>Алексеев, А.Д. Методика обучения игре на фортепиано / А.Д. Алексеев, М.,1978.</w:t>
      </w:r>
    </w:p>
    <w:p>
      <w:pPr>
        <w:pStyle w:val="style35"/>
        <w:numPr>
          <w:ilvl w:val="0"/>
          <w:numId w:val="2"/>
        </w:numPr>
      </w:pPr>
      <w:r>
        <w:rPr/>
        <w:t>Баренбойм, Л.А. Музыкальное воспитание в СССР. – М.: Советский композитор, вып.2, 1995;</w:t>
      </w:r>
    </w:p>
    <w:p>
      <w:pPr>
        <w:pStyle w:val="style35"/>
        <w:numPr>
          <w:ilvl w:val="0"/>
          <w:numId w:val="2"/>
        </w:numPr>
      </w:pPr>
      <w:r>
        <w:rPr/>
        <w:t>Баренбойм, Л.А. Из истории Советского музыкального образования // Сб. материалов и документов (1917-1927).- Л.: Москва, 1969;</w:t>
      </w:r>
    </w:p>
    <w:p>
      <w:pPr>
        <w:pStyle w:val="style35"/>
        <w:numPr>
          <w:ilvl w:val="0"/>
          <w:numId w:val="2"/>
        </w:numPr>
      </w:pPr>
      <w:r>
        <w:rPr/>
        <w:t>Баренбойм, Л.А. Путь к музыке /Л.А. Баренбойм, Н. Перунова. – Ленинград, 1989</w:t>
      </w:r>
    </w:p>
    <w:p>
      <w:pPr>
        <w:pStyle w:val="style35"/>
        <w:numPr>
          <w:ilvl w:val="0"/>
          <w:numId w:val="2"/>
        </w:numPr>
      </w:pPr>
      <w:r>
        <w:rPr/>
        <w:t>Верхолаз, Р.А. Вопросы методики чтения нот с листа./ Р.А.Верхолаз. – М., 1960.</w:t>
      </w:r>
    </w:p>
    <w:p>
      <w:pPr>
        <w:pStyle w:val="style35"/>
        <w:numPr>
          <w:ilvl w:val="0"/>
          <w:numId w:val="2"/>
        </w:numPr>
      </w:pPr>
      <w:r>
        <w:rPr/>
        <w:t>Котляревский, И.А. Ю.А.Полянский. Актуальные проблемы музыкального образования // сб.ст. – Киев: Музична Украина, 1986;</w:t>
      </w:r>
    </w:p>
    <w:p>
      <w:pPr>
        <w:pStyle w:val="style35"/>
        <w:numPr>
          <w:ilvl w:val="0"/>
          <w:numId w:val="2"/>
        </w:numPr>
      </w:pPr>
      <w:r>
        <w:rPr/>
        <w:t>Кременштейн, Б. Педагогика Г.Г.Нейгауза. // Вопросы истории, теории, методики. – М.: Музыка 1994</w:t>
      </w:r>
    </w:p>
    <w:p>
      <w:pPr>
        <w:pStyle w:val="style35"/>
        <w:numPr>
          <w:ilvl w:val="0"/>
          <w:numId w:val="2"/>
        </w:numPr>
      </w:pPr>
      <w:r>
        <w:rPr/>
        <w:t>Крюков, В.В. Музыкальная педагогика. / В.В.Крюков. – Ростов н/Д: Феникс,2002</w:t>
      </w:r>
    </w:p>
    <w:p>
      <w:pPr>
        <w:pStyle w:val="style35"/>
        <w:numPr>
          <w:ilvl w:val="0"/>
          <w:numId w:val="2"/>
        </w:numPr>
      </w:pPr>
      <w:r>
        <w:rPr/>
        <w:t>Милич, Б.Е. Воспитание ученика – пианиста/ Б.Е.Милич. – М.: Кифара, 2002</w:t>
      </w:r>
    </w:p>
    <w:p>
      <w:pPr>
        <w:pStyle w:val="style35"/>
        <w:numPr>
          <w:ilvl w:val="0"/>
          <w:numId w:val="2"/>
        </w:numPr>
      </w:pPr>
      <w:r>
        <w:rPr/>
        <w:t>Михеева, Л. Музыка - детям.//Вопросы музыкально-эстетического воспитания.- Л.: Музыка, вып.3-1981, вып.4-1976.</w:t>
      </w:r>
    </w:p>
    <w:p>
      <w:pPr>
        <w:pStyle w:val="style35"/>
        <w:numPr>
          <w:ilvl w:val="0"/>
          <w:numId w:val="2"/>
        </w:numPr>
      </w:pPr>
      <w:r>
        <w:rPr/>
        <w:t>Педагогика: Новый курс: Учеб. для студ. высш. учеб. заведений: В 2 кн. / И.Г.Подласый. - М.: Высшее образование, 2008.</w:t>
      </w:r>
    </w:p>
    <w:p>
      <w:pPr>
        <w:pStyle w:val="style35"/>
        <w:numPr>
          <w:ilvl w:val="0"/>
          <w:numId w:val="2"/>
        </w:numPr>
      </w:pPr>
      <w:r>
        <w:rPr/>
        <w:t>Радынова, О.П. Музыкальное воспитание дошкольников/ О.П.Радынова, А.И. Катинене, М.Л.Палавандишвили М.: - Просвещение, Владос, 2004 .</w:t>
      </w:r>
    </w:p>
    <w:p>
      <w:pPr>
        <w:pStyle w:val="style35"/>
        <w:numPr>
          <w:ilvl w:val="0"/>
          <w:numId w:val="2"/>
        </w:numPr>
      </w:pPr>
      <w:r>
        <w:rPr/>
        <w:t>Теоретические основы воспитания и обучения в музыкальных учебных заведениях./ Н.Дьяченко, И. Котляревский, Ю.Полянский. – Киев: Музична Украина, 1997.</w:t>
      </w:r>
    </w:p>
    <w:p>
      <w:pPr>
        <w:pStyle w:val="style35"/>
        <w:numPr>
          <w:ilvl w:val="0"/>
          <w:numId w:val="2"/>
        </w:numPr>
      </w:pPr>
      <w:r>
        <w:rPr/>
        <w:t>Турбовской, Я.С. Средства и методы педагогического действия. – М.: Знание, 1990.</w:t>
      </w:r>
    </w:p>
    <w:p>
      <w:pPr>
        <w:pStyle w:val="style35"/>
        <w:numPr>
          <w:ilvl w:val="0"/>
          <w:numId w:val="2"/>
        </w:numPr>
        <w:spacing w:after="60" w:before="60"/>
        <w:contextualSpacing w:val="false"/>
      </w:pPr>
      <w:r>
        <w:rPr/>
        <w:t>Фортепианное искусство: история и современность: проблемы творчества/ науч. ред. Р.Г.Шитикова. – СПб.: Изд-во РГПУ им. Герцена, 2004. – 149с.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" w:type="paragraph">
    <w:name w:val="Заголовок 1"/>
    <w:basedOn w:val="style0"/>
    <w:next w:val="style0"/>
    <w:pPr>
      <w:keepNext/>
      <w:numPr>
        <w:ilvl w:val="0"/>
        <w:numId w:val="1"/>
      </w:numPr>
      <w:spacing w:after="60" w:before="240"/>
      <w:contextualSpacing w:val="false"/>
      <w:outlineLvl w:val="0"/>
    </w:pPr>
    <w:rPr>
      <w:rFonts w:ascii="Arial" w:cs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0"/>
    <w:pPr>
      <w:keepNext/>
      <w:numPr>
        <w:ilvl w:val="1"/>
        <w:numId w:val="1"/>
      </w:numPr>
      <w:spacing w:after="60" w:before="240"/>
      <w:contextualSpacing w:val="false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style15" w:type="character">
    <w:name w:val="WW8Num3z0"/>
    <w:next w:val="style15"/>
    <w:rPr>
      <w:rFonts w:ascii="Symbol" w:cs="Symbol" w:hAnsi="Symbol"/>
    </w:rPr>
  </w:style>
  <w:style w:styleId="style16" w:type="character">
    <w:name w:val="WW8Num3z1"/>
    <w:next w:val="style16"/>
    <w:rPr>
      <w:rFonts w:ascii="Courier New" w:cs="Courier New" w:hAnsi="Courier New"/>
    </w:rPr>
  </w:style>
  <w:style w:styleId="style17" w:type="character">
    <w:name w:val="WW8Num3z2"/>
    <w:next w:val="style17"/>
    <w:rPr>
      <w:rFonts w:ascii="Wingdings" w:cs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Текст выноски Знак"/>
    <w:next w:val="style19"/>
    <w:rPr>
      <w:rFonts w:ascii="Tahoma" w:cs="Tahoma" w:hAnsi="Tahoma"/>
      <w:sz w:val="16"/>
      <w:szCs w:val="16"/>
    </w:rPr>
  </w:style>
  <w:style w:styleId="style20" w:type="character">
    <w:name w:val="Заголовок 1 Знак"/>
    <w:basedOn w:val="style18"/>
    <w:next w:val="style20"/>
    <w:rPr>
      <w:rFonts w:ascii="Arial" w:cs="Arial" w:hAnsi="Arial"/>
      <w:b/>
      <w:bCs/>
      <w:sz w:val="32"/>
      <w:szCs w:val="32"/>
    </w:rPr>
  </w:style>
  <w:style w:styleId="style21" w:type="character">
    <w:name w:val="Заголовок 2 Знак"/>
    <w:basedOn w:val="style18"/>
    <w:next w:val="style21"/>
    <w:rPr>
      <w:rFonts w:ascii="Arial" w:cs="Arial" w:hAnsi="Arial"/>
      <w:b/>
      <w:bCs/>
      <w:i/>
      <w:iCs/>
      <w:sz w:val="28"/>
      <w:szCs w:val="28"/>
    </w:rPr>
  </w:style>
  <w:style w:styleId="style22" w:type="character">
    <w:name w:val="Название Знак"/>
    <w:basedOn w:val="style18"/>
    <w:next w:val="style22"/>
    <w:rPr>
      <w:rFonts w:ascii="Arial" w:cs="Arial" w:hAnsi="Arial"/>
      <w:b/>
      <w:bCs/>
      <w:sz w:val="32"/>
      <w:szCs w:val="32"/>
    </w:rPr>
  </w:style>
  <w:style w:styleId="style23" w:type="character">
    <w:name w:val="Подзаголовок Знак"/>
    <w:basedOn w:val="style18"/>
    <w:next w:val="style23"/>
    <w:rPr>
      <w:rFonts w:ascii="Arial" w:cs="Arial" w:hAnsi="Arial"/>
      <w:sz w:val="24"/>
      <w:szCs w:val="24"/>
    </w:rPr>
  </w:style>
  <w:style w:styleId="style24" w:type="paragraph">
    <w:name w:val="Заголовок"/>
    <w:basedOn w:val="style0"/>
    <w:next w:val="style25"/>
    <w:pPr>
      <w:spacing w:after="60" w:before="240"/>
      <w:contextualSpacing w:val="false"/>
      <w:jc w:val="center"/>
    </w:pPr>
    <w:rPr>
      <w:rFonts w:ascii="Arial" w:cs="Arial" w:hAnsi="Arial"/>
      <w:b/>
      <w:bCs/>
      <w:sz w:val="32"/>
      <w:szCs w:val="32"/>
    </w:rPr>
  </w:style>
  <w:style w:styleId="style25" w:type="paragraph">
    <w:name w:val="Основной текст"/>
    <w:basedOn w:val="style0"/>
    <w:next w:val="style25"/>
    <w:pPr>
      <w:spacing w:after="120" w:before="0"/>
      <w:contextualSpacing w:val="false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Абзац списка"/>
    <w:basedOn w:val="style0"/>
    <w:next w:val="style29"/>
    <w:pPr>
      <w:ind w:hanging="0" w:left="708" w:right="0"/>
    </w:pPr>
    <w:rPr/>
  </w:style>
  <w:style w:styleId="style30" w:type="paragraph">
    <w:name w:val="Текст выноски"/>
    <w:basedOn w:val="style0"/>
    <w:next w:val="style30"/>
    <w:pPr>
      <w:spacing w:after="0" w:before="0" w:line="240" w:lineRule="auto"/>
      <w:contextualSpacing w:val="false"/>
    </w:pPr>
    <w:rPr>
      <w:rFonts w:ascii="Tahoma" w:cs="Tahoma" w:hAnsi="Tahoma"/>
      <w:sz w:val="16"/>
      <w:szCs w:val="16"/>
      <w:lang w:val="ru-RU"/>
    </w:rPr>
  </w:style>
  <w:style w:styleId="style31" w:type="paragraph">
    <w:name w:val="Подзаголовок"/>
    <w:basedOn w:val="style0"/>
    <w:next w:val="style25"/>
    <w:pPr>
      <w:spacing w:after="60" w:before="0"/>
      <w:contextualSpacing w:val="false"/>
      <w:jc w:val="center"/>
    </w:pPr>
    <w:rPr>
      <w:rFonts w:ascii="Arial" w:cs="Arial" w:hAnsi="Arial"/>
    </w:rPr>
  </w:style>
  <w:style w:styleId="style32" w:type="paragraph">
    <w:name w:val="а_Авторы"/>
    <w:basedOn w:val="style0"/>
    <w:next w:val="style0"/>
    <w:pPr>
      <w:spacing w:after="120" w:before="480"/>
      <w:contextualSpacing w:val="false"/>
      <w:jc w:val="right"/>
    </w:pPr>
    <w:rPr>
      <w:b/>
      <w:i/>
    </w:rPr>
  </w:style>
  <w:style w:styleId="style33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34" w:type="paragraph">
    <w:name w:val="а_Заголовок"/>
    <w:basedOn w:val="style0"/>
    <w:next w:val="style0"/>
    <w:pPr>
      <w:spacing w:after="120" w:before="240"/>
      <w:contextualSpacing w:val="false"/>
      <w:jc w:val="center"/>
    </w:pPr>
    <w:rPr>
      <w:b/>
      <w:sz w:val="28"/>
    </w:rPr>
  </w:style>
  <w:style w:styleId="style35" w:type="paragraph">
    <w:name w:val="а_Текст"/>
    <w:basedOn w:val="style0"/>
    <w:next w:val="style35"/>
    <w:pPr>
      <w:spacing w:after="60" w:before="60"/>
      <w:ind w:firstLine="567" w:left="0" w:right="0"/>
      <w:contextualSpacing w:val="false"/>
    </w:pPr>
    <w:rPr>
      <w:sz w:val="22"/>
    </w:rPr>
  </w:style>
  <w:style w:styleId="style36" w:type="paragraph">
    <w:name w:val="а_2_Заголовок"/>
    <w:basedOn w:val="style34"/>
    <w:next w:val="style35"/>
    <w:pPr>
      <w:spacing w:after="0" w:before="120"/>
      <w:ind w:firstLine="567" w:left="0" w:right="0"/>
      <w:contextualSpacing w:val="false"/>
      <w:jc w:val="left"/>
    </w:pPr>
    <w:rPr>
      <w:sz w:val="24"/>
    </w:rPr>
  </w:style>
  <w:style w:styleId="style37" w:type="paragraph">
    <w:name w:val="Содержимое таблицы"/>
    <w:basedOn w:val="style0"/>
    <w:next w:val="style37"/>
    <w:pPr>
      <w:suppressLineNumbers/>
    </w:pPr>
    <w:rPr/>
  </w:style>
  <w:style w:styleId="style38" w:type="paragraph">
    <w:name w:val="Заголовок таблицы"/>
    <w:basedOn w:val="style37"/>
    <w:next w:val="style38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2.jpeg"/><Relationship Id="rId3" Type="http://schemas.openxmlformats.org/officeDocument/2006/relationships/image" Target="media/image33.jpeg"/><Relationship Id="rId4" Type="http://schemas.openxmlformats.org/officeDocument/2006/relationships/image" Target="media/image34.jpeg"/><Relationship Id="rId5" Type="http://schemas.openxmlformats.org/officeDocument/2006/relationships/image" Target="media/image35.jpeg"/><Relationship Id="rId6" Type="http://schemas.openxmlformats.org/officeDocument/2006/relationships/image" Target="media/image36.jpeg"/><Relationship Id="rId7" Type="http://schemas.openxmlformats.org/officeDocument/2006/relationships/image" Target="media/image37.jpeg"/><Relationship Id="rId8" Type="http://schemas.openxmlformats.org/officeDocument/2006/relationships/image" Target="media/image38.jpeg"/><Relationship Id="rId9" Type="http://schemas.openxmlformats.org/officeDocument/2006/relationships/image" Target="media/image39.jpeg"/><Relationship Id="rId10" Type="http://schemas.openxmlformats.org/officeDocument/2006/relationships/image" Target="media/image40.jpeg"/><Relationship Id="rId11" Type="http://schemas.openxmlformats.org/officeDocument/2006/relationships/image" Target="media/image41.jpeg"/><Relationship Id="rId12" Type="http://schemas.openxmlformats.org/officeDocument/2006/relationships/image" Target="media/image42.jpeg"/><Relationship Id="rId13" Type="http://schemas.openxmlformats.org/officeDocument/2006/relationships/image" Target="media/image43.jpeg"/><Relationship Id="rId14" Type="http://schemas.openxmlformats.org/officeDocument/2006/relationships/image" Target="media/image44.jpeg"/><Relationship Id="rId15" Type="http://schemas.openxmlformats.org/officeDocument/2006/relationships/image" Target="media/image45.jpeg"/><Relationship Id="rId16" Type="http://schemas.openxmlformats.org/officeDocument/2006/relationships/image" Target="media/image46.jpeg"/><Relationship Id="rId17" Type="http://schemas.openxmlformats.org/officeDocument/2006/relationships/image" Target="media/image47.jpeg"/><Relationship Id="rId18" Type="http://schemas.openxmlformats.org/officeDocument/2006/relationships/image" Target="media/image48.jpeg"/><Relationship Id="rId19" Type="http://schemas.openxmlformats.org/officeDocument/2006/relationships/image" Target="media/image49.jpeg"/><Relationship Id="rId20" Type="http://schemas.openxmlformats.org/officeDocument/2006/relationships/image" Target="media/image50.jpeg"/><Relationship Id="rId21" Type="http://schemas.openxmlformats.org/officeDocument/2006/relationships/image" Target="media/image51.jpeg"/><Relationship Id="rId22" Type="http://schemas.openxmlformats.org/officeDocument/2006/relationships/image" Target="media/image52.jpeg"/><Relationship Id="rId23" Type="http://schemas.openxmlformats.org/officeDocument/2006/relationships/image" Target="media/image53.jpeg"/><Relationship Id="rId24" Type="http://schemas.openxmlformats.org/officeDocument/2006/relationships/image" Target="media/image54.jpeg"/><Relationship Id="rId25" Type="http://schemas.openxmlformats.org/officeDocument/2006/relationships/image" Target="media/image55.jpeg"/><Relationship Id="rId26" Type="http://schemas.openxmlformats.org/officeDocument/2006/relationships/image" Target="media/image56.jpeg"/><Relationship Id="rId27" Type="http://schemas.openxmlformats.org/officeDocument/2006/relationships/image" Target="media/image57.jpeg"/><Relationship Id="rId28" Type="http://schemas.openxmlformats.org/officeDocument/2006/relationships/image" Target="media/image58.jpeg"/><Relationship Id="rId29" Type="http://schemas.openxmlformats.org/officeDocument/2006/relationships/image" Target="media/image59.jpeg"/><Relationship Id="rId30" Type="http://schemas.openxmlformats.org/officeDocument/2006/relationships/image" Target="media/image60.jpeg"/><Relationship Id="rId31" Type="http://schemas.openxmlformats.org/officeDocument/2006/relationships/image" Target="media/image61.jpeg"/><Relationship Id="rId32" Type="http://schemas.openxmlformats.org/officeDocument/2006/relationships/image" Target="media/image62.jpeg"/><Relationship Id="rId33" Type="http://schemas.openxmlformats.org/officeDocument/2006/relationships/image" Target="media/image63.jpeg"/><Relationship Id="rId34" Type="http://schemas.openxmlformats.org/officeDocument/2006/relationships/image" Target="media/image64.jpeg"/><Relationship Id="rId35" Type="http://schemas.openxmlformats.org/officeDocument/2006/relationships/image" Target="media/image65.jpeg"/><Relationship Id="rId36" Type="http://schemas.openxmlformats.org/officeDocument/2006/relationships/image" Target="media/image66.jpeg"/><Relationship Id="rId37" Type="http://schemas.openxmlformats.org/officeDocument/2006/relationships/image" Target="media/image67.jpeg"/><Relationship Id="rId38" Type="http://schemas.openxmlformats.org/officeDocument/2006/relationships/image" Target="media/image68.jpeg"/><Relationship Id="rId39" Type="http://schemas.openxmlformats.org/officeDocument/2006/relationships/image" Target="media/image69.jpeg"/><Relationship Id="rId40" Type="http://schemas.openxmlformats.org/officeDocument/2006/relationships/image" Target="media/image70.jpeg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2013-04-29T14:03:00.00Z</dcterms:created>
  <dc:creator>лена</dc:creator>
  <cp:lastModifiedBy>4</cp:lastModifiedBy>
  <cp:lastPrinted>2013-04-26T15:06:00.00Z</cp:lastPrinted>
  <dcterms:modified xsi:type="dcterms:W3CDTF">2013-08-21T11:22:00.00Z</dcterms:modified>
  <cp:revision>3</cp:revision>
</cp:coreProperties>
</file>