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media/image75.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8460" w:val="left"/>
        </w:tabs>
        <w:jc w:val="center"/>
      </w:pPr>
      <w:r>
        <w:rPr>
          <w:i/>
          <w:iCs/>
        </w:rPr>
      </w:r>
    </w:p>
    <w:p>
      <w:pPr>
        <w:pStyle w:val="style46"/>
      </w:pPr>
      <w:r>
        <w:rPr/>
        <w:t>Боголепова Валентина Николаевна</w:t>
      </w:r>
    </w:p>
    <w:p>
      <w:pPr>
        <w:pStyle w:val="style47"/>
      </w:pPr>
      <w:r>
        <w:rPr/>
        <w:t>Муниципальное бюджетное образовательное учреждение культуры</w:t>
      </w:r>
    </w:p>
    <w:p>
      <w:pPr>
        <w:pStyle w:val="style47"/>
      </w:pPr>
      <w:r>
        <w:rPr/>
        <w:t>дополнительного образования детей</w:t>
      </w:r>
    </w:p>
    <w:p>
      <w:pPr>
        <w:pStyle w:val="style47"/>
      </w:pPr>
      <w:r>
        <w:rPr/>
        <w:t>«Екатеринбургская детская музыкальная школа №10</w:t>
      </w:r>
    </w:p>
    <w:p>
      <w:pPr>
        <w:pStyle w:val="style47"/>
      </w:pPr>
      <w:r>
        <w:rPr/>
        <w:t>имени В.А. Гаврилина».</w:t>
      </w:r>
    </w:p>
    <w:p>
      <w:pPr>
        <w:pStyle w:val="style48"/>
      </w:pPr>
      <w:r>
        <w:rPr/>
        <w:t xml:space="preserve"> </w:t>
      </w:r>
      <w:r>
        <w:rPr/>
        <w:t>Интонационный анализ произведения в контексте теории музыкального содержания</w:t>
      </w:r>
    </w:p>
    <w:p>
      <w:pPr>
        <w:pStyle w:val="style32"/>
        <w:jc w:val="left"/>
      </w:pPr>
      <w:r>
        <w:rPr>
          <w:sz w:val="24"/>
          <w:lang w:val="ru-RU"/>
        </w:rPr>
        <w:t xml:space="preserve"> </w:t>
      </w:r>
      <w:r>
        <w:rPr>
          <w:i/>
          <w:sz w:val="24"/>
        </w:rPr>
        <w:t xml:space="preserve">Учить легко, приятно и основательно. </w:t>
      </w:r>
    </w:p>
    <w:p>
      <w:pPr>
        <w:pStyle w:val="style32"/>
      </w:pPr>
      <w:r>
        <w:rPr>
          <w:i/>
          <w:sz w:val="24"/>
        </w:rPr>
        <w:t>Я.А. Коменский</w:t>
      </w:r>
      <w:r>
        <w:rPr>
          <w:i/>
          <w:sz w:val="24"/>
          <w:lang w:val="ru-RU"/>
        </w:rPr>
        <w:t>.</w:t>
      </w:r>
    </w:p>
    <w:p>
      <w:pPr>
        <w:pStyle w:val="style49"/>
      </w:pPr>
      <w:r>
        <w:rPr/>
        <w:t xml:space="preserve"> </w:t>
      </w:r>
      <w:r>
        <w:rPr/>
        <w:t>Музыка как вид искусства отражает универсальную картину мира. Юные музыканты уже на первом этапе обучения музыке стремятся воссоздать этот мир как не уровне своих эмоциональных проявлений, так и в контексте его смыслового содержания. Однако, свойственные юным исполнителям живость суждений и активная мыслительная деятельность чаще всего не находят поддержки у педагога по специальности и подменяются работой над техническими проблемами. Подобная педагогика, изолирующая ребенка от познавательного процесса, способна полностью отбить его интерес к занятиям музыкой.</w:t>
      </w:r>
    </w:p>
    <w:p>
      <w:pPr>
        <w:pStyle w:val="style49"/>
      </w:pPr>
      <w:r>
        <w:rPr/>
        <w:t xml:space="preserve"> </w:t>
      </w:r>
      <w:r>
        <w:rPr/>
        <w:t>Обратимся к истории и вспомним некоторые факты. Еще в семидесятые годы Л.А. Мазель указывал на разветвленную систему отечественного музыкознания, превосходящую по детализации теории все другие виды искусства. Среди негативных явлений он отмечал не только раздробленность теоретического музыкознания и его отрыв от эстетики, но и эмпиричность, пассивность. По его мнению, теоретическому музыкознанию всегда недоставало ряда точных акцентов и целенаправленности. В восьмидесятые годы это мнение известного ученого разделял и В.В. Медушевский отмечавший, что накопленные в музыкознании сведения часто создают «избыток практически нереализуемого», «не работающего знания».</w:t>
      </w:r>
      <w:r>
        <w:rPr>
          <w:rStyle w:val="style19"/>
          <w:rStyle w:val="style29"/>
          <w:sz w:val="24"/>
        </w:rPr>
        <w:footnoteReference w:id="2"/>
      </w:r>
    </w:p>
    <w:p>
      <w:pPr>
        <w:pStyle w:val="style49"/>
      </w:pPr>
      <w:r>
        <w:rPr/>
        <w:t xml:space="preserve"> </w:t>
      </w:r>
      <w:r>
        <w:rPr/>
        <w:t xml:space="preserve">В современных условиях актуальным для анализа становятся понятия авторского контекста и музыкально-интонационного словаря. Все музыканты прекрасно осознают, что авторское музыкальное содержание должно воспроизводиться исполнителем с максимальной достоверностью и основываться не на одностороннем интуитивном понимании, а и на логике и интеллекте. Именно этими качествами всегда отличалась московская пианистическая школа во главе с ее корифеем Г. Нейгаузом. </w:t>
      </w:r>
    </w:p>
    <w:p>
      <w:pPr>
        <w:pStyle w:val="style49"/>
      </w:pPr>
      <w:r>
        <w:rPr/>
        <w:t xml:space="preserve"> </w:t>
      </w:r>
      <w:r>
        <w:rPr/>
        <w:t>Этот выдающийся педагог, воспитавший не одно поколение прославленных пианистов, был глубоко убежден в том, что исполнитель должен ясно представлять себе художественно-образную концепцию музыкального произведения. Характеризуя свой педагогический опыт, Г. Нейгауз писал о том, что метод его занятий сводился к тому, чтобы юный музыкант как можно раньше уяснил себе то, что связано с художественным образом, то есть содержанием, смыслом, поэтической сущностью музыки. Эту идею поддерживали и другие известные музыканты. С. Фейнберг писал: «Пианист – актер на музыкальной сцене. Он носитель чувств и идей».</w:t>
      </w:r>
      <w:r>
        <w:rPr>
          <w:rStyle w:val="style19"/>
          <w:rStyle w:val="style29"/>
          <w:sz w:val="24"/>
        </w:rPr>
        <w:footnoteReference w:id="3"/>
      </w:r>
    </w:p>
    <w:p>
      <w:pPr>
        <w:sectPr>
          <w:headerReference r:id="rId2" w:type="first"/>
          <w:footerReference r:id="rId3" w:type="first"/>
          <w:footnotePr>
            <w:numFmt w:val="decimal"/>
          </w:footnotePr>
          <w:type w:val="nextPage"/>
          <w:pgSz w:h="16838" w:w="11906"/>
          <w:pgMar w:bottom="1410" w:footer="1134" w:gutter="0" w:header="1134" w:left="1701" w:right="850" w:top="1410"/>
          <w:pgNumType w:fmt="decimal"/>
          <w:formProt w:val="false"/>
          <w:titlePg/>
          <w:textDirection w:val="lrTb"/>
          <w:docGrid w:charSpace="0" w:linePitch="360" w:type="default"/>
        </w:sectPr>
        <w:pStyle w:val="style49"/>
      </w:pPr>
      <w:r>
        <w:rPr/>
        <w:t xml:space="preserve"> </w:t>
      </w:r>
      <w:r>
        <w:rPr/>
        <w:t>Раскрытию творческого потенциала детей, обучающихся в музыкальной школе, способствует новая универсальная область знаний, изложенная в курсе предмета «Музыкальное содержание». Данный предмет, разработанный профессором Московской государственной консерватории имени П.И. Чайковского Холоповой В.Н. и утвержденный Министерством культуры в 2008 году как Госстандарт образования на всех этапах обучения, раздвигает привычные границы представлений о музыке и исторических музыкальных стилях с точки зрения инновационных научно-педагогических знаний.</w:t>
      </w:r>
    </w:p>
    <w:p>
      <w:pPr>
        <w:sectPr>
          <w:footerReference r:id="rId4" w:type="default"/>
          <w:footnotePr>
            <w:numFmt w:val="decimal"/>
          </w:footnotePr>
          <w:type w:val="nextPage"/>
          <w:pgSz w:h="16838" w:w="11906"/>
          <w:pgMar w:bottom="1134" w:footer="708" w:gutter="0" w:header="0" w:left="1701" w:right="850" w:top="1134"/>
          <w:pgNumType w:fmt="decimal"/>
          <w:formProt w:val="false"/>
          <w:textDirection w:val="lrTb"/>
          <w:docGrid w:charSpace="0" w:linePitch="360" w:type="default"/>
        </w:sectPr>
        <w:pStyle w:val="style49"/>
      </w:pPr>
      <w:r>
        <w:rPr/>
        <w:t xml:space="preserve"> </w:t>
      </w:r>
      <w:r>
        <w:rPr/>
        <w:t>Мой опыт в преподавании предметов «Теория музыкального содержания», «Музыкальное содержание» в Курганском областном музыкальном колледже имени Д.Д Шостаковича, Курганской областной специальной музыкальной школе, Екатеринбургской детской музыкальной школе №10 имени В.А. Гаврилина убедил меня и моих коллег в том, что в рамках данного предмета у учащихся достаточно быстро формируется способность аналитически воспринимать музыку, что, несомненно, помогает им в игре на инструменте. В своей практике я использую разработанный мною метод интонационного анализа музыкального произведения сразу после прохождения темы «Интонационная основа музыки. Пять типов интонации» в курсе предмета «Музыкальное содержание» и на уроках «Музыкальной литературы».</w:t>
      </w:r>
      <w:r>
        <w:rPr>
          <w:b/>
        </w:rPr>
        <w:t xml:space="preserve"> Метод интонационного анализа предполагает следующие логические этапы:</w:t>
      </w:r>
    </w:p>
    <w:p>
      <w:pPr>
        <w:pStyle w:val="style49"/>
      </w:pPr>
      <w:r>
        <w:rPr/>
        <w:t xml:space="preserve"> </w:t>
      </w:r>
      <w:r>
        <w:rPr/>
        <w:t>1) Слуховой анализ пентады интонаций с выявлением их характеристических признаков;</w:t>
      </w:r>
    </w:p>
    <w:p>
      <w:pPr>
        <w:pStyle w:val="style49"/>
      </w:pPr>
      <w:r>
        <w:rPr/>
        <w:t xml:space="preserve"> </w:t>
      </w:r>
      <w:r>
        <w:rPr/>
        <w:t>2) Нахождение выразительных интонаций в музыке и их дифференциация путем сравнения друг с другом;</w:t>
      </w:r>
    </w:p>
    <w:p>
      <w:pPr>
        <w:pStyle w:val="style49"/>
      </w:pPr>
      <w:r>
        <w:rPr/>
        <w:t xml:space="preserve"> </w:t>
      </w:r>
      <w:r>
        <w:rPr/>
        <w:t xml:space="preserve">3) Обобщение содержательного компонента в контексте интонационного развития музыкального произведения. </w:t>
      </w:r>
    </w:p>
    <w:p>
      <w:pPr>
        <w:pStyle w:val="style49"/>
      </w:pPr>
      <w:r>
        <w:rPr/>
        <w:t xml:space="preserve"> </w:t>
      </w:r>
      <w:r>
        <w:rPr/>
        <w:t>Первый этап интонационного анализа предполагает выявление учащимися на слух выразительных типов интонаций с ясным представлением понятия музыкальной интонации как музыкального оборота с выразительным смыслом. Классификация выразительных интонаций дана по теории В.Н. Холоповой и представляет собой следующий ряд:</w:t>
      </w:r>
    </w:p>
    <w:p>
      <w:pPr>
        <w:pStyle w:val="style49"/>
      </w:pPr>
      <w:r>
        <w:rPr>
          <w:b/>
        </w:rPr>
        <w:t>1 эмоционально-мелодические и эмоционально-ритмические;</w:t>
      </w:r>
    </w:p>
    <w:p>
      <w:pPr>
        <w:pStyle w:val="style49"/>
      </w:pPr>
      <w:r>
        <w:rPr>
          <w:b/>
        </w:rPr>
        <w:t>2 предметно-изобразительные;</w:t>
      </w:r>
    </w:p>
    <w:p>
      <w:pPr>
        <w:pStyle w:val="style49"/>
      </w:pPr>
      <w:r>
        <w:rPr>
          <w:b/>
        </w:rPr>
        <w:t>3 музыкально-жанровые;</w:t>
      </w:r>
    </w:p>
    <w:p>
      <w:pPr>
        <w:pStyle w:val="style49"/>
      </w:pPr>
      <w:r>
        <w:rPr>
          <w:b/>
        </w:rPr>
        <w:t>4 музыкально-стилевые;</w:t>
      </w:r>
    </w:p>
    <w:p>
      <w:pPr>
        <w:pStyle w:val="style49"/>
      </w:pPr>
      <w:r>
        <w:rPr>
          <w:b/>
        </w:rPr>
        <w:t>5 музыкально-композиционные.</w:t>
      </w:r>
    </w:p>
    <w:p>
      <w:pPr>
        <w:pStyle w:val="style49"/>
      </w:pPr>
      <w:r>
        <w:rPr/>
        <w:t xml:space="preserve"> </w:t>
      </w:r>
      <w:r>
        <w:rPr/>
        <w:t>Характеристические признаки выразительных интонаций подробно описаны в методическом пособии по музыкальному содержанию для педагогов ДМШ и ДШИ. (Авторы В.Н. Холопова, Н.В. Бойцова, Е.А. Акишина).</w:t>
      </w:r>
    </w:p>
    <w:p>
      <w:pPr>
        <w:pStyle w:val="style49"/>
      </w:pPr>
      <w:r>
        <w:rPr/>
        <w:t xml:space="preserve"> </w:t>
      </w:r>
      <w:r>
        <w:rPr/>
        <w:t xml:space="preserve">Осваивая метод интонационного анализа педагогу вместе с учащимися необходимо проработать и закрепить многочисленный ряд музыкально-жанровых интонаций. Освоение первичных бытовых жанров и жанров классической музыки предполагается в контексте их конкретного жанрового комплекса. Круг изучаемых жанров может быть примерно следующим: марш (спортивный, траурный, военный), песня, хорал, мазурка, полонез, менуэт, гавот, полька, лендлер, вальс, аллеманда, куранта, сарабанда, жига, болеро, тарантелла, баркарола, трепак, лезгинка, галоп, танго, регтайм, кек-уок; из жанров классической музыки – этюд, прелюдия, ноктюрн, скерцо. </w:t>
      </w:r>
    </w:p>
    <w:p>
      <w:pPr>
        <w:pStyle w:val="style49"/>
      </w:pPr>
      <w:r>
        <w:rPr/>
        <w:t xml:space="preserve"> </w:t>
      </w:r>
      <w:r>
        <w:rPr/>
        <w:t xml:space="preserve">Изучение жанрового типа интонации заслуживает столь приставного внимания по причине ее сложности и лидирующего положения. Жанр, с точностью лексических свойств изначально воспринимался как ключ к пониманию музыки. Однако, уже на начальном этапе курса «Музыкального содержания» учащимся предлагается освоение таких приемов как жанровая изобразительность, жанровое цитирование, жанровое сопоставление, жанровая диффузия. Наиболее сложные из них – жанровое сопоставление и жанровая диффузия. Если прием жанрового сопоставления предполагает взаимосвязь жанров по горизонтали в виде своеобразной художественной последовательности с отображением смешанных чувств, то прием жанровой диффузии основан на жанровом пересечении и миграции одного жанра в другой. Приемы жанровой диффузии в соединении с авторскими композиционными элементами образует некий эстетический феномен в виде композиторской импровизации. </w:t>
      </w:r>
    </w:p>
    <w:p>
      <w:pPr>
        <w:pStyle w:val="style49"/>
      </w:pPr>
      <w:r>
        <w:rPr/>
        <w:t xml:space="preserve"> </w:t>
      </w:r>
      <w:r>
        <w:rPr/>
        <w:t>При изучении пентады интонаций следует обратить внимание и на композиционные интонации, так как помимо наиболее известных музыкальных элементов с устоявшимся смысловым значением - интервалов, аккордов, звукорядов, учащимся предлагается освоить и отдельные приемы современной композиторской техники, к которым могут относиться - кластер, сонор, политональность, полиритмия, акцентное варьирование, временное варьирование, диссонантная тональность, комплементарная хроматика.</w:t>
      </w:r>
    </w:p>
    <w:p>
      <w:pPr>
        <w:pStyle w:val="style49"/>
      </w:pPr>
      <w:r>
        <w:rPr/>
        <w:t xml:space="preserve"> </w:t>
      </w:r>
      <w:r>
        <w:rPr/>
        <w:t xml:space="preserve">С помощью метода интонационного анализа юные музыканты приобретают первоначальный, серьезный опыт работы с нотным текстом. Музыкальным материалом, предлагаемым для интонационного анализа, могут быть пьесы из репертуара по специальности, или по предмету «Музыкальная литература»», доступные для детского восприятия. </w:t>
      </w:r>
    </w:p>
    <w:p>
      <w:pPr>
        <w:pStyle w:val="style49"/>
      </w:pPr>
      <w:r>
        <w:rPr/>
        <w:t xml:space="preserve">. </w:t>
      </w:r>
      <w:r>
        <w:rPr>
          <w:b/>
        </w:rPr>
        <w:t>Интонационный анализ фортепианных пьес для детей.</w:t>
      </w:r>
    </w:p>
    <w:p>
      <w:pPr>
        <w:pStyle w:val="style49"/>
      </w:pPr>
      <w:r>
        <w:rPr/>
        <w:t xml:space="preserve"> </w:t>
      </w:r>
      <w:r>
        <w:rPr/>
        <w:t>Основные приметы интонационной пентады проступают в детской музыке достаточно ясно, являясь своего рода ретранслятором музыкальных образов. Так в фортепианном цикле Александра Флярковского «От примы до октавы» (1994) привлекают внимание композиционные интонации, данные в виде одного из интервалов. В каждой из восьми пьес цикла композитор закрепляет их устоявшееся смысловое значение.</w:t>
      </w:r>
    </w:p>
    <w:p>
      <w:pPr>
        <w:pStyle w:val="style49"/>
      </w:pPr>
      <w:r>
        <w:rPr/>
        <w:t xml:space="preserve"> </w:t>
      </w:r>
      <w:r>
        <w:rPr/>
        <w:t xml:space="preserve">«Делай как я» - негласно призывает прима в музыке первой пьесы, и простая повторность преобразуется в легкую звуковую игру. «Мы тоже красивые» - утверждают терпкие и острые секунды, подчиняясь грациозным танцевальным ритмам. В музыке цикла и в дальнейшем утверждается самобытное, привлекательное звучание каждого из интервалов. </w:t>
      </w:r>
    </w:p>
    <w:p>
      <w:pPr>
        <w:pStyle w:val="style49"/>
      </w:pPr>
      <w:r>
        <w:rPr/>
        <w:t xml:space="preserve"> </w:t>
      </w:r>
      <w:r>
        <w:rPr/>
        <w:t>В пьесе «Кварта (большие скачки)» композиционная интонация с активным продвижением восходящей чистой кварты, символизируя активность и решительность, весьма неожиданно сменяется тритоновой. Жесткая, изломанная последовательность тритонов – неустойчивая, но экспрессивная и напористая, становится отражением нового поворота предполагаемой сюжетной линии. Тритоновая сфера, погружая слушателя в напряженное состояние, изображает и резкие выкрики толпы, и стремительный бег конного состязания с его трагическими коллизиями. (Пример №</w:t>
      </w:r>
      <w:r>
        <w:rPr>
          <w:lang w:val="en-US"/>
        </w:rPr>
        <w:t xml:space="preserve"> </w:t>
      </w:r>
      <w:r>
        <w:rPr/>
        <w:t xml:space="preserve">1). </w:t>
      </w:r>
    </w:p>
    <w:p>
      <w:pPr>
        <w:pStyle w:val="style49"/>
      </w:pPr>
      <w:r>
        <w:rPr/>
        <w:drawing>
          <wp:inline distB="0" distL="0" distR="0" distT="0">
            <wp:extent cx="4732020" cy="336042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9"/>
      </w:pPr>
      <w:r>
        <w:rPr/>
        <w:t xml:space="preserve"> </w:t>
      </w:r>
      <w:r>
        <w:rPr/>
        <w:t xml:space="preserve">Подобный рациональный способ организации с помощью композиционных интонаций активно разрабатывал и внедрял Бела Барток. Во многих пьесах его фортепианного цикла «Микрокосмос» (1937) основой музыкально-художественного смысла становились лады, звукоряды, ритм и даже приемы исполнения. </w:t>
      </w:r>
    </w:p>
    <w:p>
      <w:pPr>
        <w:pStyle w:val="style49"/>
      </w:pPr>
      <w:r>
        <w:rPr/>
        <w:t xml:space="preserve"> </w:t>
      </w:r>
      <w:r>
        <w:rPr/>
        <w:t xml:space="preserve">Фортепианные пьесы С. Слонимского адресованы детям разных возрастов. Его желание приобщить юных пианистов к музыке 20 века позволило композитору преобразовать традиционный жанр фортепианной миниатюры с помощью мастерской проработки интонационных моделей музыкального языка. </w:t>
      </w:r>
    </w:p>
    <w:p>
      <w:pPr>
        <w:pStyle w:val="style49"/>
      </w:pPr>
      <w:r>
        <w:rPr/>
        <w:t xml:space="preserve"> </w:t>
      </w:r>
      <w:r>
        <w:rPr/>
        <w:t>Тема, звучащая в крайних частях трехчастной формы, ориентирована и на энергичную простоту марша с легким оттенком танцевальности и активную фанфарность. В маршево-танцевальных, фанфарных интонациях - то грозно-агрессивных, то игриво-капризных, основанных по преимуществу на квартаккордах с акцентным временным варьированием и переменности размера, действует сложный прием жанровой диффузии. Его взаимодействие с обширной диссонантной хроматической тональной сферой помогают представить образ Бармалея в соответствии с поэтической характеристикой, данной ему Корнеем Чуковским. (Пример № 2).</w:t>
      </w:r>
    </w:p>
    <w:p>
      <w:pPr>
        <w:pStyle w:val="style49"/>
      </w:pPr>
      <w:r>
        <w:rPr/>
        <w:drawing>
          <wp:inline distB="0" distL="0" distR="0" distT="0">
            <wp:extent cx="5304790" cy="5024120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502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9"/>
      </w:pPr>
      <w:r>
        <w:rPr/>
        <w:t xml:space="preserve"> </w:t>
      </w:r>
      <w:r>
        <w:rPr/>
        <w:t xml:space="preserve">Дальнейшие события музыкального текста связанны с перемещением через границу семантического поля. Доминирующие во второй части пьесы скерцозность и приемы мелкой этюдной техники привносят в музыку шутливый настрой. Сопоставление жанрового типа интонаций по горизонтали – скерцозности и мелкой этюдной техники с маршевостью придают музыке эффект театральной зримости. Однако интонационные приключения на этом не заканчиваются. Композиционный тип интонаций, используемый при завершении в виде глиссандо и приема малой алеаторики: с коротким ударом правой руки по черным, а локтями или ладонями левой руки по белым клавишам, становится весьма остроумным приемом в выражении радости. </w:t>
      </w:r>
    </w:p>
    <w:p>
      <w:pPr>
        <w:pStyle w:val="style49"/>
      </w:pPr>
      <w:r>
        <w:rPr/>
        <w:t xml:space="preserve"> </w:t>
      </w:r>
      <w:r>
        <w:rPr/>
        <w:t xml:space="preserve">Еще одним примером расширения представлений о выразительной природе интонации и сложных приемах жанрового синтеза может служить и пьеса </w:t>
      </w:r>
      <w:r>
        <w:rPr>
          <w:lang w:val="en-US"/>
        </w:rPr>
        <w:t>C</w:t>
      </w:r>
      <w:r>
        <w:rPr/>
        <w:t xml:space="preserve">. Слонимского «Юмористическая сценка по рисунку Пикассо «Проходящая красотка». </w:t>
      </w:r>
    </w:p>
    <w:p>
      <w:pPr>
        <w:pStyle w:val="style49"/>
      </w:pPr>
      <w:r>
        <w:rPr/>
        <w:t xml:space="preserve"> </w:t>
      </w:r>
      <w:r>
        <w:rPr/>
        <w:t>В музыке этой пьесы-сцены автор мастерски воскрешает зрительно-пластические образы рисунка в контексте изобретательных способов мышления в интонационной сфере.</w:t>
      </w:r>
    </w:p>
    <w:p>
      <w:pPr>
        <w:pStyle w:val="style49"/>
      </w:pPr>
      <w:r>
        <w:rPr/>
        <w:t xml:space="preserve"> </w:t>
      </w:r>
      <w:r>
        <w:rPr/>
        <w:t>Образ главной героини – молодой, экстравагантной девушки воспроизводится при помощи танцевальной интонации, которой свойственны акцентное варьирование, разнообразие штрихов и комплементарная хроматика. Столь свободное обращение с танцевальной интонацией направлено не только на отображение легковесности эмоций, но и на изображение внешней манеры поведения девушки с ее раскованностью и непринужденностью. В условиях остро-импульсивных ритмических, регистровых и гармонических преобразований танцевальность напоминает нам и о музыке 20 века, и о стиле самого композитора, признаками которого часто являются созвучия в виде кластеров, а из интервалов - кварты, секунды, септимы. ( Пример № 3).</w:t>
      </w:r>
    </w:p>
    <w:p>
      <w:pPr>
        <w:pStyle w:val="style49"/>
      </w:pPr>
      <w:r>
        <w:rPr/>
        <w:drawing>
          <wp:inline distB="0" distL="0" distR="0" distT="0">
            <wp:extent cx="5518150" cy="3307715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9"/>
      </w:pPr>
      <w:r>
        <w:rPr/>
        <w:t xml:space="preserve"> </w:t>
      </w:r>
      <w:r>
        <w:rPr/>
        <w:t xml:space="preserve">Весьма неожиданные преобразования жанровой танцевальной интонации происходят во второй части пьесы, форма которой тяготеет к сложной трехчастности. Здесь музыкально-художественное действие приобретает особый динамизм, чему во многом способствуют разнообразные приемы жанровых сопоставлений. Наша героиня, попадая в чуждое ей окружение, преисполнена волнения и беспокойства, а отсюда и метаморфозы первоначальной танцевальной интонации, и их организация по принципу интонационных и регистровых сопоставлений. </w:t>
      </w:r>
    </w:p>
    <w:p>
      <w:pPr>
        <w:pStyle w:val="style49"/>
      </w:pPr>
      <w:r>
        <w:rPr/>
        <w:t xml:space="preserve"> </w:t>
      </w:r>
      <w:r>
        <w:rPr/>
        <w:t xml:space="preserve">Звуковое моделирование сюжетной ситуации второй части композиционно необыкновенно мобильно. Так в начале средней части тихая танцевальная интонация с приемом полиритмии и обозначением </w:t>
      </w:r>
      <w:r>
        <w:rPr>
          <w:lang w:val="en-US"/>
        </w:rPr>
        <w:t>grazioso</w:t>
      </w:r>
      <w:r>
        <w:rPr/>
        <w:t xml:space="preserve">, при сохранении оттенка пластичности, меняет свою смысловую ориентацию, отображая полную растерянность героини. Способствует этому и последующая эмоционально-мелодическая интонация, попадающая то в верхний, то нижний регистры и переключающая внимание с нежной, трогательной мольбы на решительность и настойчивость. </w:t>
      </w:r>
    </w:p>
    <w:p>
      <w:pPr>
        <w:pStyle w:val="style49"/>
      </w:pPr>
      <w:r>
        <w:rPr/>
        <w:t>( Пример № 4).</w:t>
      </w:r>
    </w:p>
    <w:p>
      <w:pPr>
        <w:pStyle w:val="style49"/>
      </w:pPr>
      <w:r>
        <w:rPr/>
        <w:drawing>
          <wp:inline distB="0" distL="0" distR="0" distT="0">
            <wp:extent cx="5932805" cy="3051810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9"/>
      </w:pPr>
      <w:r>
        <w:rPr/>
        <w:t xml:space="preserve"> </w:t>
      </w:r>
      <w:r>
        <w:rPr/>
        <w:t xml:space="preserve">В дальнейшем появляется и новый персонаж – антигерой, вступающий с девушкой в непримиримый пластический диалог, что подтверждается звучанием своеобразного дуэта поединка, в котором их интонационные характеристики принципиально разграничены на уровне фактуры. Настойчивые и решительные маршевые интонации с фонической ясностью вертикалей верхних голосов, характеризующие антигероя, звучат в контрастном продвижении с остинатными ритмо-интонациями нижнего голоса, напоминающими о героине. </w:t>
      </w:r>
    </w:p>
    <w:p>
      <w:pPr>
        <w:pStyle w:val="style49"/>
      </w:pPr>
      <w:r>
        <w:rPr/>
        <w:t xml:space="preserve"> </w:t>
      </w:r>
      <w:r>
        <w:rPr/>
        <w:t>Жанровый тип интонирования в условиях жанровой диффузии - взаимодействия маршевости с танцевальностью в репризе активизируется. Мощное музыкальное продвижение параллельно движущихся диссонирующих комплексов, сочетающих септимы с октавами, производит не только яркое эмоциональное, но и зрительное впечатление. Диссонантность, возникающая в результате жестких фактурных параллелизмов, создает ощущение объемного художественного пространства с гиперболизацией негативных эмоций. Завершение вновь напоминает о юмористической направленности музыки пьесы, чему способствует возвратившаяся легковесно-экстравагантная танцевальная интонация с шутливыми регистровыми перекличками.</w:t>
      </w:r>
    </w:p>
    <w:p>
      <w:pPr>
        <w:pStyle w:val="style49"/>
      </w:pPr>
      <w:r>
        <w:rPr/>
        <w:t xml:space="preserve"> </w:t>
      </w:r>
      <w:r>
        <w:rPr/>
        <w:t xml:space="preserve">Располагают к познанию многообразных художественных смыслов и сочинения В. Гаврилина. Именно область художественного смысла, постигаемая в контексте интонационной сферы «Танцевальной сюите» композитора, аккумулирует в себе те способы его донесения, которые помогают преодолеть классикоцентричность при освоении современной музыки. Необычная взаимосвязь весьма далеких, а иногда и взаимоисключающих жанров, образует сложный содержательный подтекст многих произведений композитора. </w:t>
      </w:r>
    </w:p>
    <w:p>
      <w:pPr>
        <w:pStyle w:val="style49"/>
      </w:pPr>
      <w:r>
        <w:rPr/>
        <w:t xml:space="preserve"> </w:t>
      </w:r>
      <w:r>
        <w:rPr/>
        <w:t>Вместе с тем, в простоте фактурного изложения первого танца сюиты (ми минор) сразу угадывается европейская традиция. Пленительная танцевальная интонация с оттенком нежной чувствительности напоминает не только о галантном стиле, но и конкретном жанре – французском гавоте – грациозном и утонченном. Жанровый тип интонации удивительно точно передает пластику его характерных движений – мягкого кружения и легких прыжков. При этом избранная композитором интонационная модель, вполне соответствует неоклассической стилистике, обретая современный облик в музыке второй части с ее тональной и гармонической зыбкостью и неустойчивостью. (Пример № 5)</w:t>
      </w:r>
    </w:p>
    <w:p>
      <w:pPr>
        <w:pStyle w:val="style49"/>
      </w:pPr>
      <w:r>
        <w:rPr/>
        <w:drawing>
          <wp:inline distB="0" distL="0" distR="0" distT="0">
            <wp:extent cx="5593715" cy="388874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9"/>
      </w:pPr>
      <w:r>
        <w:rPr/>
        <w:t xml:space="preserve"> </w:t>
      </w:r>
      <w:r>
        <w:rPr/>
        <w:t>Чаще всего интонационная знаковость музыки В. Гаврилина имеет более сложный облик. Так жанрово-стилевые интонационные модусы второго танца (фа мажор), со свойственными им приемами жанровой диффузии, основаны на взаимопроникновении разных жанров. Если в интонационных хитросплетениях темы крайних частей угадываются легкие отзвуки скерцо и изысканного вальса, то в интонационном облике средней части мягкая подвижность баркаролы нежно оттеняется изобразительными приемами с арпеджио и форшлагами. Это интонационное взаимодействие, отражая смешанные чувства: от утонченности, капризности до поэтической возвышенности и умиротворенности, в определенной степени напоминает о романтическом стиле в музыке.</w:t>
      </w:r>
    </w:p>
    <w:p>
      <w:pPr>
        <w:pStyle w:val="style49"/>
      </w:pPr>
      <w:r>
        <w:rPr/>
        <w:t xml:space="preserve"> </w:t>
      </w:r>
      <w:r>
        <w:rPr/>
        <w:t xml:space="preserve">Комбинаторика интонационных элементов предстает в третьем танце сюиты в весьма неожиданном варианте. В. Гаврилин формирует музыкальный облик этой танцевальной пьесы в контексте остроумного взаимодействия традиций прошлого и настоящего. Интонационная структура пьесы представляет собой сопоставление жанра русской плясовой с регтаймом. Вместе с тем, при ближайшем рассмотрении оказывается, что интонационным импульсом темы русской плясовой становится диссонирующая тоника. Такая гармоническая терпкость с переакцентировкой мотивов, существенно обновляя смысл, приближает ее к современному, остро импульсивному звучанию. </w:t>
      </w:r>
    </w:p>
    <w:p>
      <w:pPr>
        <w:pStyle w:val="style49"/>
      </w:pPr>
      <w:r>
        <w:rPr/>
        <w:t xml:space="preserve"> </w:t>
      </w:r>
      <w:r>
        <w:rPr/>
        <w:t xml:space="preserve">Музыкальный процесс, интонируемый в дальнейшем по принципу диалога, модулирует от жанровой плясовой интонации в крайних частях простой трехчастной формы к регтайму в средней части. В данной ситуации для полного понимания звуковой окраски регтайма необходимо не только услышать пленительность импровизации в контексте регулярной ритмики, но и ощутить отзвуки жанра плясовой. Подобная полижанровая природа интонации с высокой степенью обобщения двух танцевальных жанров позволяет ощутить их эмоциональную близость. </w:t>
      </w:r>
    </w:p>
    <w:p>
      <w:pPr>
        <w:pStyle w:val="style49"/>
      </w:pPr>
      <w:r>
        <w:rPr/>
        <w:t xml:space="preserve"> </w:t>
      </w:r>
      <w:r>
        <w:rPr/>
        <w:t xml:space="preserve">Олицетворением русской традиции в музыке В. Гаврилина стали его сказки, художественный смысл которых постигается и в контексте изобразительного компонента, и в интонационной манере автора. Достаточно лаконичная сказка «Генерал идет» напоминает бытовую комическую сценку. В крайних частях ее простой конструкции (простая трехчастная форма) гротескно организованные маршевые ритмы ассоциируются с образом главного героя - старого, хромающего генерала, идущего по улице в сапогах со скрипом. « Генерал до невозможности старый…..Тем более что он хромает на левую ногу». Эти уточняющие моменты программы позволили композитору иронично совместить бодрые ритмы марша с секундами, кластером и неожиданными падениями сильных долей в нижний регистр. И в дальнейшем композитор точно следует за программой. Волевые речитативные возгласы и эмоционально-ритмические интонации, имитирующие барабанную дробь в музыке средней части пьесы воспринимаются как изобразительный комментарий к одному из эпизодов программы с утверждением, что от генерала, « прямо-таки пахнет пальбой и командами». С большим юмором в завершении сказки звучит еще один музыкальный комментарий в виде жанровой интонации. Хоральный склад, строгий и величественный, подтверждает мысль о том, что генерала «….все очень уважают за это. А может, просто боятся задеть, чтобы как-нибудь нечаянно его не разрушить». </w:t>
      </w:r>
    </w:p>
    <w:p>
      <w:pPr>
        <w:pStyle w:val="style49"/>
      </w:pPr>
      <w:r>
        <w:rPr/>
        <w:t xml:space="preserve"> </w:t>
      </w:r>
      <w:r>
        <w:rPr/>
        <w:t>Музыка – один из самых эмоциональных видов искусств. Вместе с тем, эмоциональное впечатление, с которого начинается восприятие музыки необходимо обосновать аналитически не менее ярко и точно. Метод интонационного анализа помогает учащимся уже на ранних этапах обучения отказаться от общих рассуждений о музыке, противопоставив им понимание музыки как удивительно многообразной и весьма конкретной картины мира. Отечественный композитор В. Гаврилин однажды написал: «Мы должники перед массой людей, не испытавших на себе чуда музыки». Можно уточнить смысл этих слов и существенно дополнить их: «Мы преподаватели – теоретики в ответственности за тех детей, которые приходят в музыкальную школу с надеждой понять прекрасный язык классической музыки и поверить в то, что музыкальный анализ оказывается действенным средством приобщения к прекрасному».</w:t>
      </w:r>
    </w:p>
    <w:p>
      <w:pPr>
        <w:pStyle w:val="style50"/>
      </w:pPr>
      <w:r>
        <w:rPr/>
        <w:t xml:space="preserve"> </w:t>
      </w:r>
      <w:r>
        <w:rPr/>
        <w:t>Список литературы</w:t>
      </w:r>
    </w:p>
    <w:p>
      <w:pPr>
        <w:pStyle w:val="style49"/>
        <w:numPr>
          <w:ilvl w:val="0"/>
          <w:numId w:val="2"/>
        </w:numPr>
      </w:pPr>
      <w:r>
        <w:rPr/>
        <w:t>Асафьев Б. Критические статьи и рецензии. Москва. Ленинград.,1967.</w:t>
      </w:r>
    </w:p>
    <w:p>
      <w:pPr>
        <w:pStyle w:val="style49"/>
        <w:numPr>
          <w:ilvl w:val="0"/>
          <w:numId w:val="2"/>
        </w:numPr>
      </w:pPr>
      <w:r>
        <w:rPr/>
        <w:t>Земцовский И. Мой идеал – изучение контекста в тексте // С.М. 2006 № 1.</w:t>
      </w:r>
    </w:p>
    <w:p>
      <w:pPr>
        <w:pStyle w:val="style49"/>
        <w:numPr>
          <w:ilvl w:val="0"/>
          <w:numId w:val="2"/>
        </w:numPr>
      </w:pPr>
      <w:r>
        <w:rPr/>
        <w:t>Кудряшов А. Теория музыкального содержания. Санкт – Петербург – Москва – Краснодар., 2006.</w:t>
      </w:r>
    </w:p>
    <w:p>
      <w:pPr>
        <w:pStyle w:val="style49"/>
        <w:numPr>
          <w:ilvl w:val="0"/>
          <w:numId w:val="2"/>
        </w:numPr>
      </w:pPr>
      <w:r>
        <w:rPr/>
        <w:t>Медушевский В. Интонационная теория в исторической перспективе // С.М.1975 № 7</w:t>
      </w:r>
    </w:p>
    <w:p>
      <w:pPr>
        <w:pStyle w:val="style49"/>
        <w:numPr>
          <w:ilvl w:val="0"/>
          <w:numId w:val="2"/>
        </w:numPr>
      </w:pPr>
      <w:r>
        <w:rPr/>
        <w:t>Нейгауз Г. Об искусстве фортепианной игры. М.,1961.</w:t>
      </w:r>
    </w:p>
    <w:p>
      <w:pPr>
        <w:pStyle w:val="style49"/>
        <w:numPr>
          <w:ilvl w:val="0"/>
          <w:numId w:val="2"/>
        </w:numPr>
      </w:pPr>
      <w:r>
        <w:rPr/>
        <w:t>Ручьевская Е. Мелодия сквозь призму жанра // Критика и музыкознание. М.,1980.</w:t>
      </w:r>
    </w:p>
    <w:p>
      <w:pPr>
        <w:pStyle w:val="style49"/>
        <w:numPr>
          <w:ilvl w:val="0"/>
          <w:numId w:val="2"/>
        </w:numPr>
      </w:pPr>
      <w:r>
        <w:rPr/>
        <w:t>Стравинский И. Диалоги. Л.,1971.</w:t>
      </w:r>
    </w:p>
    <w:p>
      <w:pPr>
        <w:pStyle w:val="style49"/>
        <w:numPr>
          <w:ilvl w:val="0"/>
          <w:numId w:val="2"/>
        </w:numPr>
      </w:pPr>
      <w:r>
        <w:rPr/>
        <w:t>Фейнберг С. Пианизм как искусство. М.,1969.</w:t>
      </w:r>
    </w:p>
    <w:p>
      <w:pPr>
        <w:pStyle w:val="style49"/>
        <w:numPr>
          <w:ilvl w:val="0"/>
          <w:numId w:val="2"/>
        </w:numPr>
      </w:pPr>
      <w:r>
        <w:rPr/>
        <w:t>Холопова В. Теория музыки. СПб.,2002.</w:t>
      </w:r>
    </w:p>
    <w:p>
      <w:pPr>
        <w:pStyle w:val="style49"/>
        <w:numPr>
          <w:ilvl w:val="0"/>
          <w:numId w:val="2"/>
        </w:numPr>
      </w:pPr>
      <w:r>
        <w:rPr/>
        <w:t>Теория современной композиции. М., 2005.</w:t>
      </w:r>
    </w:p>
    <w:p>
      <w:pPr>
        <w:pStyle w:val="style49"/>
        <w:numPr>
          <w:ilvl w:val="0"/>
          <w:numId w:val="2"/>
        </w:numPr>
      </w:pPr>
      <w:r>
        <w:rPr/>
        <w:t>Холопова В., Бойцова Н., Акишина Е. «Музыкальное содержание». Методическое пособие для педагогов ДМШ и ДШИ. М.,2005.</w:t>
      </w:r>
    </w:p>
    <w:p>
      <w:pPr>
        <w:pStyle w:val="style0"/>
        <w:tabs>
          <w:tab w:leader="none" w:pos="8460" w:val="left"/>
        </w:tabs>
        <w:jc w:val="both"/>
      </w:pPr>
      <w:r>
        <w:rPr/>
        <w:t xml:space="preserve"> </w:t>
      </w:r>
    </w:p>
    <w:p>
      <w:pPr>
        <w:pStyle w:val="style0"/>
        <w:tabs>
          <w:tab w:leader="none" w:pos="8460" w:val="left"/>
        </w:tabs>
        <w:jc w:val="both"/>
      </w:pPr>
      <w:r>
        <w:rPr/>
        <w:t xml:space="preserve"> </w:t>
      </w:r>
    </w:p>
    <w:p>
      <w:pPr>
        <w:pStyle w:val="style0"/>
        <w:tabs>
          <w:tab w:leader="none" w:pos="8460" w:val="left"/>
        </w:tabs>
      </w:pPr>
      <w:r>
        <w:rPr/>
        <w:t xml:space="preserve"> </w:t>
      </w:r>
    </w:p>
    <w:p>
      <w:pPr>
        <w:pStyle w:val="style0"/>
        <w:tabs>
          <w:tab w:leader="none" w:pos="8460" w:val="left"/>
        </w:tabs>
        <w:jc w:val="both"/>
      </w:pPr>
      <w:r>
        <w:rPr/>
        <w:t xml:space="preserve"> </w:t>
      </w:r>
    </w:p>
    <w:sectPr>
      <w:footerReference r:id="rId10" w:type="default"/>
      <w:footnotePr>
        <w:numFmt w:val="decimal"/>
      </w:footnotePr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ind w:hanging="0" w:left="0" w:right="360"/>
    </w:pPr>
    <w:r>
      <w:rPr/>
    </w:r>
  </w:p>
  <w:p>
    <w:pPr>
      <w:pStyle w:val="style37"/>
    </w:pPr>
    <w:r>
      <w:rPr>
        <w:rStyle w:val="style20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ind w:hanging="0" w:left="0" w:right="360"/>
    </w:pPr>
    <w:r>
      <w:rPr/>
    </w:r>
  </w:p>
  <w:p>
    <w:pPr>
      <w:pStyle w:val="style37"/>
    </w:pPr>
    <w:r>
      <w:rPr>
        <w:rStyle w:val="style20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6"/>
      </w:pPr>
      <w:r>
        <w:rPr/>
        <w:footnoteRef/>
        <w:tab/>
        <w:t xml:space="preserve"> </w:t>
      </w:r>
      <w:r>
        <w:rPr/>
        <w:t>Медушевский В.В. Интонационная теория в исторической перспективе //С.М.1975 №7.С.338.</w:t>
      </w:r>
    </w:p>
  </w:footnote>
  <w:footnote w:id="3">
    <w:p>
      <w:pPr>
        <w:pStyle w:val="style36"/>
      </w:pPr>
      <w:r>
        <w:rPr/>
        <w:footnoteRef/>
        <w:tab/>
        <w:t xml:space="preserve"> </w:t>
      </w:r>
      <w:r>
        <w:rPr/>
        <w:t>Фейнберг С.Е. Пианизм как искусство. М.1969. С.570.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287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23z0"/>
    <w:next w:val="style15"/>
    <w:rPr>
      <w:rFonts w:ascii="Symbol" w:cs="Symbol" w:hAnsi="Symbol"/>
    </w:rPr>
  </w:style>
  <w:style w:styleId="style16" w:type="character">
    <w:name w:val="WW8Num23z1"/>
    <w:next w:val="style16"/>
    <w:rPr>
      <w:rFonts w:ascii="Courier New" w:cs="Courier New" w:hAnsi="Courier New"/>
    </w:rPr>
  </w:style>
  <w:style w:styleId="style17" w:type="character">
    <w:name w:val="WW8Num23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Символ сноски"/>
    <w:next w:val="style19"/>
    <w:rPr>
      <w:vertAlign w:val="superscript"/>
    </w:rPr>
  </w:style>
  <w:style w:styleId="style20" w:type="character">
    <w:name w:val="Номер страницы"/>
    <w:basedOn w:val="style18"/>
    <w:next w:val="style20"/>
    <w:rPr/>
  </w:style>
  <w:style w:styleId="style21" w:type="character">
    <w:name w:val="Символы концевой сноски"/>
    <w:next w:val="style21"/>
    <w:rPr>
      <w:vertAlign w:val="superscript"/>
    </w:rPr>
  </w:style>
  <w:style w:styleId="style22" w:type="character">
    <w:name w:val="Название Знак"/>
    <w:next w:val="style22"/>
    <w:rPr>
      <w:rFonts w:ascii="Arial" w:cs="Arial" w:hAnsi="Arial"/>
      <w:b/>
      <w:bCs/>
      <w:sz w:val="32"/>
      <w:szCs w:val="32"/>
    </w:rPr>
  </w:style>
  <w:style w:styleId="style23" w:type="character">
    <w:name w:val="Верхний колонтитул Знак"/>
    <w:next w:val="style23"/>
    <w:rPr>
      <w:sz w:val="24"/>
      <w:szCs w:val="24"/>
    </w:rPr>
  </w:style>
  <w:style w:styleId="style24" w:type="character">
    <w:name w:val="Основной текст Знак"/>
    <w:next w:val="style24"/>
    <w:rPr>
      <w:szCs w:val="24"/>
    </w:rPr>
  </w:style>
  <w:style w:styleId="style25" w:type="character">
    <w:name w:val="Текст выноски Знак"/>
    <w:next w:val="style25"/>
    <w:rPr>
      <w:rFonts w:ascii="Tahoma" w:cs="Tahoma" w:hAnsi="Tahoma"/>
      <w:sz w:val="16"/>
      <w:szCs w:val="16"/>
    </w:rPr>
  </w:style>
  <w:style w:styleId="style26" w:type="character">
    <w:name w:val="Интернет-ссылка"/>
    <w:basedOn w:val="style18"/>
    <w:next w:val="style26"/>
    <w:rPr>
      <w:color w:val="0000FF"/>
      <w:u w:val="single"/>
    </w:rPr>
  </w:style>
  <w:style w:styleId="style27" w:type="character">
    <w:name w:val="Заголовок 2 Знак"/>
    <w:basedOn w:val="style18"/>
    <w:next w:val="style27"/>
    <w:rPr>
      <w:rFonts w:ascii="Arial" w:cs="Arial" w:hAnsi="Arial"/>
      <w:b/>
      <w:bCs/>
      <w:i/>
      <w:iCs/>
      <w:sz w:val="28"/>
      <w:szCs w:val="28"/>
    </w:rPr>
  </w:style>
  <w:style w:styleId="style28" w:type="character">
    <w:name w:val="Подзаголовок Знак"/>
    <w:basedOn w:val="style18"/>
    <w:next w:val="style28"/>
    <w:rPr>
      <w:rFonts w:ascii="Arial" w:cs="Arial" w:hAnsi="Arial"/>
      <w:sz w:val="24"/>
      <w:szCs w:val="24"/>
    </w:rPr>
  </w:style>
  <w:style w:styleId="style29" w:type="character">
    <w:name w:val="Привязка сноски"/>
    <w:next w:val="style29"/>
    <w:rPr>
      <w:vertAlign w:val="superscript"/>
    </w:rPr>
  </w:style>
  <w:style w:styleId="style30" w:type="character">
    <w:name w:val="Привязка концевой сноски"/>
    <w:next w:val="style30"/>
    <w:rPr>
      <w:vertAlign w:val="superscript"/>
    </w:rPr>
  </w:style>
  <w:style w:styleId="style31" w:type="paragraph">
    <w:name w:val="Заголовок"/>
    <w:basedOn w:val="style0"/>
    <w:next w:val="style32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  <w:lang w:val="ru-RU"/>
    </w:rPr>
  </w:style>
  <w:style w:styleId="style32" w:type="paragraph">
    <w:name w:val="Основной текст"/>
    <w:basedOn w:val="style0"/>
    <w:next w:val="style32"/>
    <w:pPr>
      <w:tabs>
        <w:tab w:leader="none" w:pos="8460" w:val="left"/>
      </w:tabs>
      <w:jc w:val="right"/>
    </w:pPr>
    <w:rPr>
      <w:sz w:val="20"/>
      <w:lang w:val="ru-RU"/>
    </w:rPr>
  </w:style>
  <w:style w:styleId="style33" w:type="paragraph">
    <w:name w:val="Список"/>
    <w:basedOn w:val="style32"/>
    <w:next w:val="style33"/>
    <w:pPr/>
    <w:rPr>
      <w:rFonts w:cs="Mangal"/>
    </w:rPr>
  </w:style>
  <w:style w:styleId="style34" w:type="paragraph">
    <w:name w:val="Название"/>
    <w:basedOn w:val="style0"/>
    <w:next w:val="style3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5" w:type="paragraph">
    <w:name w:val="Указатель"/>
    <w:basedOn w:val="style0"/>
    <w:next w:val="style35"/>
    <w:pPr>
      <w:suppressLineNumbers/>
    </w:pPr>
    <w:rPr>
      <w:rFonts w:cs="Mangal"/>
    </w:rPr>
  </w:style>
  <w:style w:styleId="style36" w:type="paragraph">
    <w:name w:val="Сноска"/>
    <w:basedOn w:val="style0"/>
    <w:next w:val="style36"/>
    <w:pPr/>
    <w:rPr>
      <w:sz w:val="20"/>
      <w:szCs w:val="20"/>
    </w:rPr>
  </w:style>
  <w:style w:styleId="style37" w:type="paragraph">
    <w:name w:val="Нижний колонтитул"/>
    <w:basedOn w:val="style0"/>
    <w:next w:val="style37"/>
    <w:pPr>
      <w:tabs>
        <w:tab w:leader="none" w:pos="4677" w:val="center"/>
        <w:tab w:leader="none" w:pos="9355" w:val="right"/>
      </w:tabs>
    </w:pPr>
    <w:rPr/>
  </w:style>
  <w:style w:styleId="style38" w:type="paragraph">
    <w:name w:val="Основной текст с отступом"/>
    <w:basedOn w:val="style0"/>
    <w:next w:val="style38"/>
    <w:pPr>
      <w:tabs>
        <w:tab w:leader="none" w:pos="8820" w:val="left"/>
      </w:tabs>
      <w:ind w:hanging="0" w:left="360" w:right="0"/>
    </w:pPr>
    <w:rPr>
      <w:sz w:val="20"/>
    </w:rPr>
  </w:style>
  <w:style w:styleId="style39" w:type="paragraph">
    <w:name w:val="Основной текст 2"/>
    <w:basedOn w:val="style0"/>
    <w:next w:val="style39"/>
    <w:pPr>
      <w:tabs>
        <w:tab w:leader="none" w:pos="8460" w:val="left"/>
      </w:tabs>
      <w:jc w:val="both"/>
    </w:pPr>
    <w:rPr>
      <w:sz w:val="20"/>
    </w:rPr>
  </w:style>
  <w:style w:styleId="style40" w:type="paragraph">
    <w:name w:val="Концевая сноска"/>
    <w:basedOn w:val="style0"/>
    <w:next w:val="style40"/>
    <w:pPr/>
    <w:rPr>
      <w:sz w:val="20"/>
      <w:szCs w:val="20"/>
    </w:rPr>
  </w:style>
  <w:style w:styleId="style41" w:type="paragraph">
    <w:name w:val="Без интервала"/>
    <w:next w:val="style41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42" w:type="paragraph">
    <w:name w:val="Абзац списка"/>
    <w:basedOn w:val="style0"/>
    <w:next w:val="style42"/>
    <w:pPr>
      <w:ind w:hanging="0" w:left="708" w:right="0"/>
    </w:pPr>
    <w:rPr/>
  </w:style>
  <w:style w:styleId="style43" w:type="paragraph">
    <w:name w:val="Верхний колонтитул"/>
    <w:basedOn w:val="style0"/>
    <w:next w:val="style43"/>
    <w:pPr>
      <w:tabs>
        <w:tab w:leader="none" w:pos="4677" w:val="center"/>
        <w:tab w:leader="none" w:pos="9355" w:val="right"/>
      </w:tabs>
    </w:pPr>
    <w:rPr>
      <w:lang w:val="ru-RU"/>
    </w:rPr>
  </w:style>
  <w:style w:styleId="style44" w:type="paragraph">
    <w:name w:val="Текст выноски"/>
    <w:basedOn w:val="style0"/>
    <w:next w:val="style44"/>
    <w:pPr/>
    <w:rPr>
      <w:rFonts w:ascii="Tahoma" w:cs="Tahoma" w:hAnsi="Tahoma"/>
      <w:sz w:val="16"/>
      <w:szCs w:val="16"/>
      <w:lang w:val="ru-RU"/>
    </w:rPr>
  </w:style>
  <w:style w:styleId="style45" w:type="paragraph">
    <w:name w:val="Подзаголовок"/>
    <w:basedOn w:val="style0"/>
    <w:next w:val="style32"/>
    <w:pPr>
      <w:spacing w:after="60" w:before="0"/>
      <w:contextualSpacing w:val="false"/>
      <w:jc w:val="center"/>
    </w:pPr>
    <w:rPr>
      <w:rFonts w:ascii="Arial" w:cs="Arial" w:hAnsi="Arial"/>
    </w:rPr>
  </w:style>
  <w:style w:styleId="style46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47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48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49" w:type="paragraph">
    <w:name w:val="а_Текст"/>
    <w:basedOn w:val="style0"/>
    <w:next w:val="style49"/>
    <w:pPr>
      <w:spacing w:after="60" w:before="60"/>
      <w:ind w:firstLine="567" w:left="0" w:right="0"/>
      <w:contextualSpacing w:val="false"/>
    </w:pPr>
    <w:rPr>
      <w:sz w:val="22"/>
    </w:rPr>
  </w:style>
  <w:style w:styleId="style50" w:type="paragraph">
    <w:name w:val="а_2_Заголовок"/>
    <w:basedOn w:val="style48"/>
    <w:next w:val="style49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51" w:type="paragraph">
    <w:name w:val="Содержимое врезки"/>
    <w:basedOn w:val="style32"/>
    <w:next w:val="style5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71.jpeg"/><Relationship Id="rId6" Type="http://schemas.openxmlformats.org/officeDocument/2006/relationships/image" Target="media/image72.jpeg"/><Relationship Id="rId7" Type="http://schemas.openxmlformats.org/officeDocument/2006/relationships/image" Target="media/image73.jpeg"/><Relationship Id="rId8" Type="http://schemas.openxmlformats.org/officeDocument/2006/relationships/image" Target="media/image74.jpeg"/><Relationship Id="rId9" Type="http://schemas.openxmlformats.org/officeDocument/2006/relationships/image" Target="media/image75.jpeg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2003-09-05T00:51:00.00Z</dcterms:created>
  <dc:creator>Bogolepova</dc:creator>
  <cp:lastModifiedBy>4</cp:lastModifiedBy>
  <cp:lastPrinted>2013-05-07T15:47:00.00Z</cp:lastPrinted>
  <dcterms:modified xsi:type="dcterms:W3CDTF">2013-08-21T10:05:00.00Z</dcterms:modified>
  <cp:revision>30</cp:revision>
  <dc:title>Анализ музыкального произведения в контексте теории музыкального содержания</dc:title>
</cp:coreProperties>
</file>