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1"/>
        <w:spacing w:after="120" w:before="480"/>
        <w:contextualSpacing w:val="false"/>
      </w:pPr>
      <w:r>
        <w:rPr/>
        <w:t>Емельянова Ирина Анатольевна</w:t>
      </w:r>
    </w:p>
    <w:p>
      <w:pPr>
        <w:pStyle w:val="style32"/>
      </w:pPr>
      <w:r>
        <w:rPr/>
        <w:t>МАОУ ДОД «Объединенная детская школа искусств №3» г.Братска</w:t>
      </w:r>
    </w:p>
    <w:p>
      <w:pPr>
        <w:pStyle w:val="style33"/>
      </w:pPr>
      <w:r>
        <w:rPr/>
        <w:t>Наглядное пособие "Классные и домашние задания" в подготовительном классе ДШИ. Конспект одного урока.</w:t>
      </w:r>
    </w:p>
    <w:p>
      <w:pPr>
        <w:pStyle w:val="style35"/>
      </w:pPr>
      <w:r>
        <w:rPr/>
        <w:t>ВВЕДЕНИЕ</w:t>
      </w:r>
    </w:p>
    <w:p>
      <w:pPr>
        <w:pStyle w:val="style34"/>
      </w:pPr>
      <w:r>
        <w:rPr/>
        <w:tab/>
        <w:t>Наглядное пособие «Классные и домашние задания» по предмету «Сольфеджио» для учащихся подготовительного класса детской музыкальной школы содержит 28 уроков, каждый из которых рассчитан на 40 минут при занятиях один раз в неделю.</w:t>
      </w:r>
    </w:p>
    <w:p>
      <w:pPr>
        <w:pStyle w:val="style34"/>
      </w:pPr>
      <w:r>
        <w:rPr/>
        <w:tab/>
        <w:t>Настоящее пособие является обобщением опыта начального музыкального образования и воспитания детей младшего возраста, методологическое обоснование которого лежит в теории проблемного обучения. Целью проблемного метода является развитие в учащихся умения мыслить. Наличие эмоционального фактора непременное и обязательное условие в учебной работе, поэтому рациональная и эмоциональная сфера действуют как единое целое.</w:t>
      </w:r>
    </w:p>
    <w:p>
      <w:pPr>
        <w:pStyle w:val="style34"/>
      </w:pPr>
      <w:r>
        <w:rPr/>
        <w:tab/>
        <w:t>Фундаментальнейшим средством обучения является игра. Смешные картинки, веселые тексты для распевания, игровые ситуации на уроке естественно включают детей в орбиту познаваемого, мобилизуют эмоции ребёнка, его внимание, интеллект.</w:t>
      </w:r>
    </w:p>
    <w:p>
      <w:pPr>
        <w:pStyle w:val="style34"/>
      </w:pPr>
      <w:r>
        <w:rPr/>
        <w:tab/>
        <w:t>Один из важных аспектов данной работы является опора на самостоятельное творчество детей, которое проявляется в вокальной импровизации, сочинении рифм, иллюстрировании песен и попевок, актерской игре при исполнении вокальных примеров, преображении «Мисольки» в различные образы и героев. (Мисолька-смайлик, который присутствует в каждом уроке и у каждого ребенка превращается в своего героя).</w:t>
      </w:r>
    </w:p>
    <w:p>
      <w:pPr>
        <w:pStyle w:val="style34"/>
      </w:pPr>
      <w:r>
        <w:rPr/>
        <w:tab/>
        <w:t>В пособии присутствует «перевод» специфических понятий на язык доступных детям конкретных образов. Маленькие задачи, которые ставятся на уроке перед детьми, призваны стимулировать его мысль, его внимание, творческие способности, а главное должны ежеминутно убеждать ребенка, что он способен творить и открывать новое.</w:t>
      </w:r>
    </w:p>
    <w:p>
      <w:pPr>
        <w:pStyle w:val="style34"/>
      </w:pPr>
      <w:r>
        <w:rPr/>
        <w:tab/>
        <w:t>Большое значение в процессе обучения детей, особенно на начальном этапе, имеет отношение родителей к обучению детей в музыкальной школе. Без помощи родителей ребёнку будет трудно осваивать «азы» музыкальной грамоты. Помощь должна проявляться прежде всего в заинтересованности родителей, «вникания» их в процесс обучения и создании условий для домашних занятий детей. Каждое домашнее задание должно готовиться в присутствии родителей и под их руководством, так как каждый урок несет в себе новую информацию, требующую понимания и запоминания. В « Домашних заданиях» предусмотрена совместная работа родителей и детей; она превращает домашнюю подготовку в веселый и одновременно познавательный процесс, который несет в себе еще и воспитательный момент. В «Классных заданиях» тоже есть формы совместного музицирования, в которых могут принять участие присутствующие на уроках родители.</w:t>
      </w:r>
    </w:p>
    <w:p>
      <w:pPr>
        <w:pStyle w:val="style34"/>
      </w:pPr>
      <w:r>
        <w:rPr/>
        <w:tab/>
        <w:t>В связи с тем, что условия Педагогических чтений не позволяют представить все содержание Пособия, я продемонстрирую лишь конспект одного урока с классными и домашними заданиями.</w:t>
      </w:r>
    </w:p>
    <w:p>
      <w:pPr>
        <w:pStyle w:val="style34"/>
      </w:pPr>
      <w:r>
        <w:rPr/>
      </w:r>
    </w:p>
    <w:p>
      <w:pPr>
        <w:pStyle w:val="style35"/>
      </w:pPr>
      <w:r>
        <w:rPr/>
        <w:t>КОНСПЕКТ УРОКА №3</w:t>
      </w:r>
    </w:p>
    <w:p>
      <w:pPr>
        <w:pStyle w:val="style34"/>
      </w:pPr>
      <w:r>
        <w:rPr>
          <w:b/>
        </w:rPr>
        <w:tab/>
        <w:t>Тема:</w:t>
      </w:r>
      <w:r>
        <w:rPr/>
        <w:t xml:space="preserve"> Сочетание высоких и низких, длинных и коротких звуков.</w:t>
      </w:r>
    </w:p>
    <w:p>
      <w:pPr>
        <w:pStyle w:val="style34"/>
      </w:pPr>
      <w:r>
        <w:rPr>
          <w:b/>
        </w:rPr>
        <w:tab/>
        <w:t>Цель:</w:t>
      </w:r>
      <w:r>
        <w:rPr/>
        <w:t xml:space="preserve"> Дать возможность учащимся ощутить разницу в продолжительности звуков, их высотного положения.</w:t>
      </w:r>
    </w:p>
    <w:p>
      <w:pPr>
        <w:pStyle w:val="style0"/>
        <w:jc w:val="both"/>
      </w:pPr>
      <w:r>
        <w:rPr>
          <w:b/>
        </w:rPr>
        <w:tab/>
        <w:t>Ход урока:</w:t>
      </w:r>
    </w:p>
    <w:p>
      <w:pPr>
        <w:pStyle w:val="style34"/>
      </w:pPr>
      <w:r>
        <w:rPr/>
        <w:tab/>
        <w:t>1. Организация внимания учащихся. Настрой на работу.</w:t>
      </w:r>
    </w:p>
    <w:p>
      <w:pPr>
        <w:pStyle w:val="style34"/>
      </w:pPr>
      <w:r>
        <w:rPr/>
        <w:t>Ритмические упражнения «Эхо». Простые ритмы в исполнении педагога повторяются детьми (хлопки, палочки, инструменты шумового оркестра).</w:t>
      </w:r>
    </w:p>
    <w:p>
      <w:pPr>
        <w:sectPr>
          <w:type w:val="nextPage"/>
          <w:pgSz w:h="16838" w:w="11906"/>
          <w:pgMar w:bottom="1134" w:footer="0" w:gutter="0" w:header="0" w:left="851" w:right="709" w:top="1134"/>
          <w:pgNumType w:fmt="decimal"/>
          <w:formProt w:val="false"/>
          <w:titlePg/>
          <w:textDirection w:val="lrTb"/>
          <w:docGrid w:charSpace="0" w:linePitch="360" w:type="default"/>
        </w:sectPr>
        <w:pStyle w:val="style34"/>
      </w:pPr>
      <w:r>
        <w:rPr/>
        <w:tab/>
        <w:t xml:space="preserve">2. Проверка домашнего задания. </w:t>
      </w:r>
    </w:p>
    <w:p>
      <w:pPr>
        <w:pStyle w:val="style34"/>
      </w:pPr>
      <w:r>
        <w:rPr/>
        <w:tab/>
        <w:t>Просмотр рисунков к песенке «Часы». Повторение понятий «форте» и «пиано», проговаривание звукорядов от разных нот, пение и исполнение на фортепиано и немой клавиатуре выученной на предыдущем уроке песенки «Два кота». Показ рукой высотного положения звуков этой песенки.</w:t>
        <w:tab/>
      </w:r>
    </w:p>
    <w:p>
      <w:pPr>
        <w:pStyle w:val="style34"/>
      </w:pPr>
      <w:r>
        <w:rPr/>
        <w:tab/>
        <w:t>3. Ладоинтонационная работа.</w:t>
      </w:r>
    </w:p>
    <w:p>
      <w:pPr>
        <w:pStyle w:val="style34"/>
      </w:pPr>
      <w:r>
        <w:rPr/>
        <w:tab/>
        <w:t>Распевание. Внимание на правильное положение корпуса, спокойный вздох, протяжный звук. Попевки «Филин», «Колокольчики» на одном звуке. Знакомство с новой попевкой «Андрей-воробей».</w:t>
      </w:r>
    </w:p>
    <w:p>
      <w:pPr>
        <w:pStyle w:val="style34"/>
      </w:pPr>
      <w:r>
        <w:rPr/>
        <w:tab/>
        <w:t>Новое понятие «Нотный стан». Стихи про нотный стан и ноты. «Дом для нот». Ноты-пуговицы белого и черного цвета. Пропевание своих имен, сопровождая короткие звуки легкими хлопками, длинные звуки - шлепками по коленкам. Каждое слово выразительно артикулируется и пропевается с разнообразными эмоциональными нюансами: форте, пиано, весело, сердито, ласково, таинственно и т. д. Пропетые слова выкладываются пуговицами на нотном стане. Используется наглядное пособие «Смайлики».</w:t>
      </w:r>
    </w:p>
    <w:p>
      <w:pPr>
        <w:pStyle w:val="style34"/>
      </w:pPr>
      <w:r>
        <w:rPr/>
        <w:tab/>
        <w:t>Пение песенки « Петушок», выкладывание ее пуговичками. Знакомство с новыми понятиями «Реприза» (реприза-знак повторения), «Ритм» (ритм-сочетание длинных и коротких звуков в определенном порядке).</w:t>
      </w:r>
    </w:p>
    <w:p>
      <w:pPr>
        <w:pStyle w:val="style34"/>
      </w:pPr>
      <w:r>
        <w:rPr/>
        <w:tab/>
        <w:t>4. Работа над метроритмом.</w:t>
      </w:r>
    </w:p>
    <w:p>
      <w:pPr>
        <w:pStyle w:val="style34"/>
      </w:pPr>
      <w:r>
        <w:rPr/>
        <w:tab/>
        <w:t>Ритмослоги: та (четвертные), ти-ти (восьмые), тири-тири (шестнадцатые). Повторение песни «Часы». Распределение детей на группы. Каждая группа исполняет инструментами шумового оркестра ритм своих часов: башенных, стенных, ручных.</w:t>
      </w:r>
    </w:p>
    <w:p>
      <w:pPr>
        <w:pStyle w:val="style34"/>
      </w:pPr>
      <w:r>
        <w:rPr/>
        <w:t>Чтение ритмов. Исполнение их на инструментах с фортепианным сопровождением педагога.</w:t>
      </w:r>
    </w:p>
    <w:p>
      <w:pPr>
        <w:pStyle w:val="style34"/>
      </w:pPr>
      <w:r>
        <w:rPr/>
        <w:tab/>
        <w:t>5. Разбор нового «Домашнего задания».</w:t>
      </w:r>
    </w:p>
    <w:p>
      <w:pPr>
        <w:pStyle w:val="style34"/>
      </w:pPr>
      <w:r>
        <w:rPr/>
        <w:tab/>
        <w:t>Определить длинные и короткие звуки в песенке «Ёлочка», схематично изобразив длинные звуки белыми кружочками, короткие-черными. Нарисовать.</w:t>
      </w:r>
    </w:p>
    <w:p>
      <w:pPr>
        <w:pStyle w:val="style34"/>
      </w:pPr>
      <w:r>
        <w:rPr/>
        <w:tab/>
        <w:t>Запомнить значение слов «реприза», «мелодия», «ритм».</w:t>
      </w:r>
    </w:p>
    <w:p>
      <w:pPr>
        <w:pStyle w:val="style34"/>
      </w:pPr>
      <w:r>
        <w:rPr/>
        <w:tab/>
        <w:t>Повторение понятий «форте» и «пиано»: соединить образные выражения со знаками f и p.</w:t>
      </w:r>
    </w:p>
    <w:p>
      <w:pPr>
        <w:pStyle w:val="style34"/>
      </w:pPr>
      <w:r>
        <w:rPr/>
        <w:tab/>
        <w:t>Читать ритмы ритмослогами, хлопая в ладоши.</w:t>
      </w:r>
    </w:p>
    <w:p>
      <w:pPr>
        <w:pStyle w:val="style34"/>
      </w:pPr>
      <w:r>
        <w:rPr/>
        <w:tab/>
        <w:t>Выучить слова песенки «Андрей-воробей».</w:t>
      </w:r>
    </w:p>
    <w:p>
      <w:pPr>
        <w:pStyle w:val="style34"/>
      </w:pPr>
      <w:r>
        <w:rPr/>
        <w:t>Каждое задание можно иллюстрировать своими рисунками.</w:t>
      </w:r>
    </w:p>
    <w:p>
      <w:pPr>
        <w:pStyle w:val="style34"/>
      </w:pPr>
      <w:r>
        <w:rPr/>
        <w:t>6. Прощание</w:t>
      </w:r>
    </w:p>
    <w:p>
      <w:pPr>
        <w:pStyle w:val="style34"/>
        <w:spacing w:after="60" w:before="60"/>
        <w:ind w:firstLine="567" w:left="0" w:right="0"/>
        <w:contextualSpacing w:val="false"/>
      </w:pPr>
      <w:r>
        <w:rPr/>
        <w:t>На пение-реплику педагога: «До свидания!» учащиеся отвечают по звукам трезвучия: «Нам пора!».</w:t>
      </w:r>
    </w:p>
    <w:sectPr>
      <w:type w:val="nextPage"/>
      <w:pgSz w:h="16838" w:w="11906"/>
      <w:pgMar w:bottom="1134" w:footer="0" w:gutter="0" w:header="0" w:left="851" w:right="709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Основной шрифт абзаца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Без интервала Знак"/>
    <w:basedOn w:val="style15"/>
    <w:next w:val="style17"/>
    <w:rPr>
      <w:sz w:val="24"/>
      <w:szCs w:val="24"/>
      <w:lang w:bidi="ar-SA" w:val="ru-RU"/>
    </w:rPr>
  </w:style>
  <w:style w:styleId="style18" w:type="character">
    <w:name w:val="Заголовок 1 Знак"/>
    <w:basedOn w:val="style15"/>
    <w:next w:val="style18"/>
    <w:rPr>
      <w:rFonts w:ascii="Arial" w:cs="Arial" w:hAnsi="Arial"/>
      <w:b/>
      <w:bCs/>
      <w:sz w:val="32"/>
      <w:szCs w:val="32"/>
    </w:rPr>
  </w:style>
  <w:style w:styleId="style19" w:type="character">
    <w:name w:val="Заголовок 2 Знак"/>
    <w:basedOn w:val="style15"/>
    <w:next w:val="style19"/>
    <w:rPr>
      <w:rFonts w:ascii="Arial" w:cs="Arial" w:hAnsi="Arial"/>
      <w:b/>
      <w:bCs/>
      <w:i/>
      <w:iCs/>
      <w:sz w:val="28"/>
      <w:szCs w:val="28"/>
    </w:rPr>
  </w:style>
  <w:style w:styleId="style20" w:type="character">
    <w:name w:val="Название Знак"/>
    <w:basedOn w:val="style15"/>
    <w:next w:val="style20"/>
    <w:rPr>
      <w:rFonts w:ascii="Arial" w:cs="Arial" w:hAnsi="Arial"/>
      <w:b/>
      <w:bCs/>
      <w:sz w:val="32"/>
      <w:szCs w:val="32"/>
    </w:rPr>
  </w:style>
  <w:style w:styleId="style21" w:type="character">
    <w:name w:val="Подзаголовок Знак"/>
    <w:basedOn w:val="style15"/>
    <w:next w:val="style21"/>
    <w:rPr>
      <w:rFonts w:ascii="Arial" w:cs="Arial" w:hAnsi="Arial"/>
      <w:sz w:val="24"/>
      <w:szCs w:val="24"/>
    </w:rPr>
  </w:style>
  <w:style w:styleId="style22" w:type="paragraph">
    <w:name w:val="Заголовок"/>
    <w:basedOn w:val="style0"/>
    <w:next w:val="style23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cs="Mangal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Mangal"/>
    </w:rPr>
  </w:style>
  <w:style w:styleId="style27" w:type="paragraph">
    <w:name w:val="Абзац списка"/>
    <w:basedOn w:val="style0"/>
    <w:next w:val="style27"/>
    <w:pPr>
      <w:ind w:hanging="0" w:left="708" w:right="0"/>
    </w:pPr>
    <w:rPr>
      <w:rFonts w:eastAsia="Calibri"/>
    </w:rPr>
  </w:style>
  <w:style w:styleId="style28" w:type="paragraph">
    <w:name w:val="Текст выноски"/>
    <w:basedOn w:val="style0"/>
    <w:next w:val="style28"/>
    <w:pPr>
      <w:spacing w:after="0" w:before="0" w:line="240" w:lineRule="auto"/>
      <w:contextualSpacing w:val="false"/>
    </w:pPr>
    <w:rPr>
      <w:rFonts w:ascii="Tahoma" w:cs="Tahoma" w:hAnsi="Tahoma"/>
      <w:sz w:val="16"/>
      <w:szCs w:val="16"/>
    </w:rPr>
  </w:style>
  <w:style w:styleId="style29" w:type="paragraph">
    <w:name w:val="Без интервала"/>
    <w:next w:val="style29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30" w:type="paragraph">
    <w:name w:val="Подзаголовок"/>
    <w:basedOn w:val="style0"/>
    <w:next w:val="style23"/>
    <w:pPr>
      <w:spacing w:after="60" w:before="0"/>
      <w:contextualSpacing w:val="false"/>
      <w:jc w:val="center"/>
    </w:pPr>
    <w:rPr>
      <w:rFonts w:ascii="Arial" w:cs="Arial" w:hAnsi="Arial"/>
    </w:rPr>
  </w:style>
  <w:style w:styleId="style31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32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33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34" w:type="paragraph">
    <w:name w:val="а_Текст"/>
    <w:basedOn w:val="style0"/>
    <w:next w:val="style34"/>
    <w:pPr>
      <w:spacing w:after="60" w:before="60"/>
      <w:ind w:firstLine="567" w:left="0" w:right="0"/>
      <w:contextualSpacing w:val="false"/>
    </w:pPr>
    <w:rPr>
      <w:sz w:val="22"/>
    </w:rPr>
  </w:style>
  <w:style w:styleId="style35" w:type="paragraph">
    <w:name w:val="а_2_Заголовок"/>
    <w:basedOn w:val="style33"/>
    <w:next w:val="style34"/>
    <w:pPr>
      <w:spacing w:after="0" w:before="120"/>
      <w:ind w:firstLine="567" w:left="0" w:right="0"/>
      <w:contextualSpacing w:val="false"/>
      <w:jc w:val="left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2013-05-13T00:07:00.00Z</dcterms:created>
  <dc:creator>Admin</dc:creator>
  <cp:lastModifiedBy>4</cp:lastModifiedBy>
  <dcterms:modified xsi:type="dcterms:W3CDTF">2013-08-21T10:31:00.00Z</dcterms:modified>
  <cp:revision>4</cp:revision>
  <dc:subject>По предмету сольфеджио, для учащихся подготовительного класса</dc:subject>
  <dc:title>Наглядное пособие «Классные и домашние задания»</dc:title>
</cp:coreProperties>
</file>