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90"/>
        <w:spacing w:after="120" w:before="480"/>
        <w:contextualSpacing w:val="false"/>
      </w:pPr>
      <w:r>
        <w:rPr/>
        <w:t>Гребнева Лариса Николаевна</w:t>
      </w:r>
    </w:p>
    <w:p>
      <w:pPr>
        <w:pStyle w:val="style91"/>
      </w:pPr>
      <w:r>
        <w:rPr/>
        <w:t xml:space="preserve">Муниципальное бюджетное общеобразовательное учреждение </w:t>
      </w:r>
    </w:p>
    <w:p>
      <w:pPr>
        <w:pStyle w:val="style91"/>
      </w:pPr>
      <w:r>
        <w:rPr/>
        <w:t>«Детская школа искусств № 8» г. Томска</w:t>
      </w:r>
    </w:p>
    <w:p>
      <w:pPr>
        <w:pStyle w:val="style92"/>
      </w:pPr>
      <w:r>
        <w:rPr/>
        <w:t>Пальчиковые игры на уроках театрального отделения</w:t>
      </w:r>
    </w:p>
    <w:p>
      <w:pPr>
        <w:pStyle w:val="style94"/>
        <w:jc w:val="center"/>
      </w:pPr>
      <w:r>
        <w:rPr/>
        <w:t>Визитная карточка проекта</w:t>
      </w:r>
    </w:p>
    <w:tbl>
      <w:tblPr>
        <w:jc w:val="left"/>
        <w:tblInd w:type="dxa" w:w="279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2489"/>
        <w:gridCol w:w="6711"/>
      </w:tblGrid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 </w:t>
            </w:r>
            <w:r>
              <w:rPr/>
              <w:t>Фамилия, имя, отчество автора</w:t>
            </w:r>
          </w:p>
        </w:tc>
        <w:tc>
          <w:tcPr>
            <w:tcW w:type="dxa" w:w="6711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Гребнева Лариса Николаевна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Название образовательного учреждения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Муниципальное бюджетное общеобразовательное учреждение – детская школа искусств № 8 г. Томска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Вид проекта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Образовательный, игровой, познавательный, долговременный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Тема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«</w:t>
            </w:r>
            <w:r>
              <w:rPr>
                <w:i/>
              </w:rPr>
              <w:t>Пальчиковые игры на уроках театрального отделения</w:t>
            </w:r>
            <w:r>
              <w:rPr/>
              <w:t>»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Цель проекта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- развитие мелкой моторики рук и речи в процессе пальчиковых игр; 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- создание педагогических условий для развития мелкой моторики кистей рук. 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Методические задачи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1. Подготовить методический материал, план работы, картотеку пальчиковых игр.</w:t>
            </w:r>
          </w:p>
          <w:p>
            <w:pPr>
              <w:pStyle w:val="style93"/>
            </w:pPr>
            <w:r>
              <w:rPr/>
              <w:t>2. Разработать игры-драматизации с элементами пальчиковых игр.</w:t>
            </w:r>
          </w:p>
          <w:p>
            <w:pPr>
              <w:pStyle w:val="style93"/>
            </w:pPr>
            <w:r>
              <w:rPr/>
              <w:t>3. Провести пальчиковые игры с детьми в разных видах деятельности.</w:t>
            </w:r>
          </w:p>
          <w:p>
            <w:pPr>
              <w:pStyle w:val="style93"/>
            </w:pPr>
            <w:r>
              <w:rPr/>
              <w:t>4. Развивать творческое воображение.</w:t>
            </w:r>
          </w:p>
          <w:p>
            <w:pPr>
              <w:pStyle w:val="style93"/>
            </w:pPr>
            <w:r>
              <w:rPr/>
              <w:t xml:space="preserve">5. Развивать мелкую моторику; </w:t>
            </w:r>
          </w:p>
          <w:p>
            <w:pPr>
              <w:pStyle w:val="style93"/>
            </w:pPr>
            <w:r>
              <w:rPr/>
              <w:t>6. Развитие логического мышления, зрительного восприятия;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7. Развитие навыка самостоятельной работы по образцу.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Ведущая идея инновационного проекта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contextualSpacing w:val="false"/>
            </w:pPr>
            <w:r>
              <w:rPr>
                <w:iCs/>
              </w:rPr>
              <w:t>Разумное сочетание традиционных и современных подходов к преподаванию позволит осуществлять целенаправленное формирование ключевых компетенций у учащихся, и в конечном счёте повысить качество знаний по предмету и создать условия для успешной социализации личности.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 </w:t>
            </w:r>
            <w:r>
              <w:rPr/>
              <w:t>Применяемые технологии</w:t>
            </w:r>
          </w:p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Методическое обеспечение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Е. Косинова «Пальчиковая гимнастика»;</w:t>
            </w:r>
          </w:p>
          <w:p>
            <w:pPr>
              <w:pStyle w:val="style93"/>
            </w:pPr>
            <w:r>
              <w:rPr/>
              <w:t xml:space="preserve">Е. Краузе «Логопедия»; </w:t>
            </w:r>
          </w:p>
          <w:p>
            <w:pPr>
              <w:pStyle w:val="style93"/>
            </w:pPr>
            <w:r>
              <w:rPr/>
              <w:t xml:space="preserve">О. И. Крупенчук «Пальчиковые игры»; </w:t>
            </w:r>
          </w:p>
          <w:p>
            <w:pPr>
              <w:pStyle w:val="style93"/>
            </w:pPr>
            <w:r>
              <w:rPr/>
              <w:t xml:space="preserve">Энциклопедия развития и обучения школьника; 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Программа и Тематический план.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Предметные области, в рамках которых проводится проект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Основы сценического действия;</w:t>
            </w:r>
          </w:p>
          <w:p>
            <w:pPr>
              <w:pStyle w:val="style93"/>
            </w:pPr>
            <w:r>
              <w:rPr/>
              <w:t>Основы сценического движения;</w:t>
            </w:r>
          </w:p>
          <w:p>
            <w:pPr>
              <w:pStyle w:val="style93"/>
            </w:pPr>
            <w:r>
              <w:rPr/>
              <w:t>Основы актёрского мастерства;</w:t>
            </w:r>
          </w:p>
          <w:p>
            <w:pPr>
              <w:pStyle w:val="style93"/>
            </w:pPr>
            <w:r>
              <w:rPr/>
              <w:t>Театральные игры;</w:t>
            </w:r>
          </w:p>
          <w:p>
            <w:pPr>
              <w:pStyle w:val="style93"/>
            </w:pPr>
            <w:r>
              <w:rPr/>
              <w:t>История театра;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Бутафория; 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Возрастная категория, на которую рассчитаны цели учебного проекта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1-3-классы</w:t>
            </w:r>
          </w:p>
        </w:tc>
      </w:tr>
      <w:tr>
        <w:trPr>
          <w:cantSplit w:val="false"/>
        </w:trPr>
        <w:tc>
          <w:tcPr>
            <w:tcW w:type="dxa" w:w="248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175" w:left="0" w:right="0"/>
              <w:contextualSpacing w:val="false"/>
            </w:pPr>
            <w:r>
              <w:rPr/>
              <w:t>Программно – техническое обеспечение</w:t>
            </w:r>
          </w:p>
        </w:tc>
        <w:tc>
          <w:tcPr>
            <w:tcW w:type="dxa" w:w="6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Аудиоцентр;</w:t>
            </w:r>
          </w:p>
          <w:p>
            <w:pPr>
              <w:pStyle w:val="style93"/>
            </w:pPr>
            <w:r>
              <w:rPr/>
              <w:t>ПК</w:t>
            </w:r>
          </w:p>
          <w:p>
            <w:pPr>
              <w:pStyle w:val="style93"/>
            </w:pPr>
            <w:r>
              <w:rPr/>
              <w:t xml:space="preserve">Средства телекоммуникации (выход в Интернет); 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Видеоплеер, </w:t>
            </w:r>
            <w:r>
              <w:rPr>
                <w:lang w:val="en-US"/>
              </w:rPr>
              <w:t>DVD</w:t>
            </w:r>
            <w:r>
              <w:rPr/>
              <w:t xml:space="preserve">- плеер; </w:t>
            </w:r>
          </w:p>
        </w:tc>
      </w:tr>
    </w:tbl>
    <w:p>
      <w:pPr>
        <w:pStyle w:val="style0"/>
      </w:pPr>
      <w:r>
        <w:rPr>
          <w:b/>
        </w:rPr>
      </w:r>
    </w:p>
    <w:p>
      <w:pPr>
        <w:pStyle w:val="style94"/>
        <w:jc w:val="center"/>
      </w:pPr>
      <w:r>
        <w:rPr/>
        <w:t>Проект «Пальчиковые игры»</w:t>
      </w:r>
    </w:p>
    <w:p>
      <w:pPr>
        <w:pStyle w:val="style94"/>
        <w:jc w:val="center"/>
      </w:pPr>
      <w:r>
        <w:rPr/>
        <w:t>Вид проекта: образовательный, игровой, долговременный.</w:t>
      </w:r>
    </w:p>
    <w:p>
      <w:pPr>
        <w:pStyle w:val="style93"/>
      </w:pPr>
      <w:r>
        <w:rPr/>
        <w:t>Проблема: низкий уровень развития общей и мелкой моторики у детей младшего школьного возраста.</w:t>
      </w:r>
    </w:p>
    <w:p>
      <w:pPr>
        <w:pStyle w:val="style93"/>
      </w:pPr>
      <w:r>
        <w:rPr/>
        <w:t>Диагностическое исследование по методике М. А. Панфиловой «Зайчик» показало низкий уровень общей и мелкой моторной ловкости, точности движений, выполняемых руками, низкий уровень самостоятельной речевой продукции, сопровождающей выполнение действий.</w:t>
      </w:r>
    </w:p>
    <w:p>
      <w:pPr>
        <w:pStyle w:val="style93"/>
      </w:pPr>
      <w:r>
        <w:rPr/>
        <w:t>Моторные центры речи находятся рядом с моторными центрами пальцев рук, поэтому, стимулируя моторику, мы развиваем речь.</w:t>
      </w:r>
    </w:p>
    <w:p>
      <w:pPr>
        <w:pStyle w:val="style93"/>
      </w:pPr>
      <w:r>
        <w:rPr/>
        <w:t>В младшем школьном возрасте наилучший эффект дают пальчиковые игры, так как они интересны детям, соответствуют возрасту, позволяют в короткий срок улучшить моторику рук.</w:t>
      </w:r>
    </w:p>
    <w:p>
      <w:pPr>
        <w:pStyle w:val="style93"/>
      </w:pPr>
      <w:r>
        <w:rPr/>
        <w:t xml:space="preserve">Цель: </w:t>
      </w:r>
    </w:p>
    <w:p>
      <w:pPr>
        <w:pStyle w:val="style93"/>
        <w:numPr>
          <w:ilvl w:val="0"/>
          <w:numId w:val="4"/>
        </w:numPr>
      </w:pPr>
      <w:r>
        <w:rPr/>
        <w:t xml:space="preserve">развитие мелкой моторики рук и речи в процессе пальчиковых игр; </w:t>
      </w:r>
    </w:p>
    <w:p>
      <w:pPr>
        <w:pStyle w:val="style93"/>
        <w:numPr>
          <w:ilvl w:val="0"/>
          <w:numId w:val="4"/>
        </w:numPr>
      </w:pPr>
      <w:r>
        <w:rPr/>
        <w:t>создание педагогических условий для развития мелкой моторики кистей рук.</w:t>
      </w:r>
    </w:p>
    <w:p>
      <w:pPr>
        <w:pStyle w:val="style93"/>
      </w:pPr>
      <w:r>
        <w:rPr/>
        <w:t>Задачи:</w:t>
      </w:r>
    </w:p>
    <w:p>
      <w:pPr>
        <w:pStyle w:val="style93"/>
      </w:pPr>
      <w:r>
        <w:rPr/>
        <w:t>1. Подготовить методический материал, план работы, картотеку пальчиковых игр.</w:t>
      </w:r>
    </w:p>
    <w:p>
      <w:pPr>
        <w:pStyle w:val="style93"/>
      </w:pPr>
      <w:r>
        <w:rPr/>
        <w:t>2. Разработать игры-драматизации с элементами пальчиковых игр.</w:t>
      </w:r>
    </w:p>
    <w:p>
      <w:pPr>
        <w:pStyle w:val="style93"/>
      </w:pPr>
      <w:r>
        <w:rPr/>
        <w:t>3. Провести пальчиковые игры с детьми в разных видах деятельности.</w:t>
      </w:r>
    </w:p>
    <w:p>
      <w:pPr>
        <w:pStyle w:val="style93"/>
      </w:pPr>
      <w:r>
        <w:rPr/>
        <w:t>4. Развивать творческое воображение.</w:t>
      </w:r>
    </w:p>
    <w:p>
      <w:pPr>
        <w:pStyle w:val="style93"/>
      </w:pPr>
      <w:r>
        <w:rPr/>
        <w:t xml:space="preserve">5. Развивать мелкую моторику; </w:t>
      </w:r>
    </w:p>
    <w:p>
      <w:pPr>
        <w:pStyle w:val="style93"/>
      </w:pPr>
      <w:r>
        <w:rPr/>
        <w:t>6. Развитие логического мышления, зрительного восприятия;</w:t>
      </w:r>
    </w:p>
    <w:p>
      <w:pPr>
        <w:pStyle w:val="style93"/>
      </w:pPr>
      <w:r>
        <w:rPr/>
        <w:t>7. Развитие навыка самостоятельной работы по образцу.</w:t>
      </w:r>
    </w:p>
    <w:p>
      <w:pPr>
        <w:pStyle w:val="style93"/>
      </w:pPr>
      <w:r>
        <w:rPr/>
        <w:t>Методическое обеспечение: Е. Краузе «Логопедия»; Энциклопедия развития и обучения школьника; конспекты логоритмических занятий с детьми 2-3 лет М. Ю. Картушина; О. И. Крупенчук «Пальчиковые игры»; Е. Косинова «Пальчиковая гимнастика»; образовательная программа и тематический план.</w:t>
      </w:r>
    </w:p>
    <w:p>
      <w:pPr>
        <w:pStyle w:val="style93"/>
      </w:pPr>
      <w:r>
        <w:rPr/>
        <w:t>Диагностико-дидактическое: М. А. Панфилова «Игротерапия общения»; картотека игр.</w:t>
      </w:r>
    </w:p>
    <w:p>
      <w:pPr>
        <w:pStyle w:val="style94"/>
        <w:jc w:val="center"/>
      </w:pPr>
      <w:r>
        <w:rPr/>
        <w:t>Введение</w:t>
      </w:r>
    </w:p>
    <w:p>
      <w:pPr>
        <w:pStyle w:val="style93"/>
      </w:pPr>
      <w:r>
        <w:rPr>
          <w:b/>
          <w:bCs/>
          <w:i/>
        </w:rPr>
        <w:t>Актуальность</w:t>
      </w:r>
      <w:r>
        <w:rPr>
          <w:bCs/>
        </w:rPr>
        <w:t xml:space="preserve"> заявленной темы инновационного педагогического проекта обусловлена тем, что </w:t>
      </w:r>
      <w:r>
        <w:rPr/>
        <w:t xml:space="preserve">пальчиковые игры приносят огромную пользу и одновременно радостное общение для развития речи. Такие упражнения, совмещаемые с разучиванием текстов, стимулируют не только развитие речи, но и пространственное мышление, фантазию, внимание и быстроту реакций. А самое главное, что все тексты представлены в стихотворной форме, которая запоминается маленькими детьми лучше и легче всего. Ритм и особое построение слов воздействуют на них магически, успокаивают и утешают. </w:t>
      </w:r>
    </w:p>
    <w:p>
      <w:pPr>
        <w:pStyle w:val="style93"/>
      </w:pPr>
      <w:r>
        <w:rPr/>
        <w:t>Пальчиковые игры являются универсальным тренингом мелкой моторики и речи у детей. Подобные игры развивают внимание, воображение, память школьников. Стихотворная форма подачи материала помогает координировать речь и движения, вызывает у ребенка эмоциональный отклик, побуждает его озвучивать свои действия.</w:t>
      </w:r>
    </w:p>
    <w:p>
      <w:pPr>
        <w:pStyle w:val="style93"/>
      </w:pPr>
      <w:r>
        <w:rPr>
          <w:bCs/>
        </w:rPr>
        <w:t xml:space="preserve">Проект рассчитан на 3 года по программе «Театральное искусство» Гребневой Л.Н. </w:t>
      </w:r>
    </w:p>
    <w:p>
      <w:pPr>
        <w:pStyle w:val="style93"/>
      </w:pPr>
      <w:r>
        <w:rPr>
          <w:bCs/>
        </w:rPr>
        <w:t xml:space="preserve">Работа ведётся в группах по индивидуальному плану. Результаты оформляются в виде дневника наблюдения. Заключительная работа – открытая зашита проекта с приглашением родителей, педагогов в ходе, которой ученики должны продемонстрировать знания, умения и навыки в соответствии с требованием учебной программы, рассказать о том, каким образом шла работа в группе и что было самым запоминающим в ходе работы. Каждый ученик вносит свой вклад в работу группы в целом. </w:t>
      </w:r>
    </w:p>
    <w:p>
      <w:pPr>
        <w:pStyle w:val="style93"/>
      </w:pPr>
      <w:r>
        <w:rPr>
          <w:b/>
          <w:bCs/>
          <w:i/>
        </w:rPr>
        <w:t>Новизна проекта</w:t>
      </w:r>
      <w:r>
        <w:rPr>
          <w:bCs/>
        </w:rPr>
        <w:t xml:space="preserve">. Опыт по реализации данного проекта можно обозначить как репродуктивно-рационализаторский, поскольку данный вопрос уже разрабатывался отечественными и зарубежными педагогами. Новизна учебного проекта заключается в системном подходе к проблеме, обозначенной в работе, в отборе и оптимальном сочетании различных технологий. </w:t>
      </w:r>
    </w:p>
    <w:p>
      <w:pPr>
        <w:pStyle w:val="style93"/>
      </w:pPr>
      <w:r>
        <w:rPr>
          <w:b/>
          <w:bCs/>
          <w:i/>
        </w:rPr>
        <w:t xml:space="preserve">Инновационность и новизна </w:t>
      </w:r>
      <w:r>
        <w:rPr>
          <w:bCs/>
        </w:rPr>
        <w:t xml:space="preserve">достигаются также использованием в практике преподавания предмета педагогических находок. </w:t>
      </w:r>
    </w:p>
    <w:p>
      <w:pPr>
        <w:pStyle w:val="style93"/>
      </w:pPr>
      <w:r>
        <w:rPr/>
        <w:t xml:space="preserve">В процессе игр и упражнений на развитие мелкой моторики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 В предложенном материале использованы идеи, приемы, упражнения из разных источников, позволяющие эффективно осуществлять коррекцию двигательных нарушений. </w:t>
      </w:r>
    </w:p>
    <w:p>
      <w:pPr>
        <w:pStyle w:val="style93"/>
      </w:pPr>
      <w:r>
        <w:rPr/>
        <w:t>Кисть руки – орган речи – такой же, как и артикуляционный аппарат. С этой точки зрения двигательную проекционную область кисти руки можно считать ещё одной речевой зоной мозга.</w:t>
      </w:r>
    </w:p>
    <w:p>
      <w:pPr>
        <w:pStyle w:val="style93"/>
      </w:pPr>
      <w:r>
        <w:rPr/>
        <w:t>Развитие словесной речи ребёнка начинается, когда движения пальцев рук достигают достаточной тонкости. Развитие пальцевой моторики как бы подготавливает почву для последующего формирования речи.</w:t>
      </w:r>
    </w:p>
    <w:p>
      <w:pPr>
        <w:pStyle w:val="style93"/>
      </w:pPr>
      <w:r>
        <w:rPr/>
        <w:t>Развитие пальцев рук оказывает благотворное влияние не только на становление речи, но и на формирование психических процессов.</w:t>
      </w:r>
    </w:p>
    <w:p>
      <w:pPr>
        <w:pStyle w:val="style93"/>
      </w:pPr>
      <w:r>
        <w:rPr/>
        <w:t>Работа по тренировке тонких движений пальцев рук является стимулирующей для общего развития ребёнка, а также способствует профилактике и преодолению нарушений речи у детей. Если даже речь ребёнка развивается вроде бы нормально всё же нужно заботиться о развитии у него тонких движений пальцев рук; если же развитие речи ребёнка отстаёт, то на тренировку его пальцев необходимо обратить особое внимание.</w:t>
      </w:r>
    </w:p>
    <w:p>
      <w:pPr>
        <w:pStyle w:val="style93"/>
      </w:pPr>
      <w:r>
        <w:rPr/>
        <w:t>Работа по формированию и совершенствованию общих движений тонкой моторики пальцев рук рассматривается как неотъемлемая часть комплексной системы коррекционно – педагогического воздействия на детей с нарушениями речи.</w:t>
      </w:r>
    </w:p>
    <w:p>
      <w:pPr>
        <w:pStyle w:val="style93"/>
      </w:pPr>
      <w:r>
        <w:rPr/>
        <w:t>Практика показывает: чем раньше начинается работа по развитию мелкой моторики рук, тем больший положительный эффект оказывает она на формирование речи, на профилактику и коррекцию речевых нарушений.</w:t>
      </w:r>
    </w:p>
    <w:p>
      <w:pPr>
        <w:pStyle w:val="style93"/>
      </w:pPr>
      <w:r>
        <w:rPr>
          <w:bCs/>
        </w:rPr>
        <w:t xml:space="preserve">Предложенные упражнения для пальчиков помогут развить мелкую моторику рук и речь ребёнка. Кисти рук приобретут подвижность, гибкость, исчезнет скованность движений, что в дальнейшем облегчит обучение театральным дисциплинам. </w:t>
      </w:r>
    </w:p>
    <w:p>
      <w:pPr>
        <w:pStyle w:val="style93"/>
      </w:pPr>
      <w:r>
        <w:rPr>
          <w:bCs/>
        </w:rPr>
        <w:t xml:space="preserve">Для того чтобы научить детей правильно говорить, необходимо тренировать его артикуляционный аппарат, развивать мелкую моторику рук, которая ведёт к улучшению взаимосвязи между полушариями головного мозга и синхронизации их работы. </w:t>
      </w:r>
    </w:p>
    <w:p>
      <w:pPr>
        <w:pStyle w:val="style93"/>
      </w:pPr>
      <w:r>
        <w:rPr>
          <w:bCs/>
        </w:rPr>
        <w:t>Дело в том, что в правом полушарии мозга у нас возникают различные образы предметов и явлений, а в левом они вербализируются, то есть находят словесное выражение. Происходит этот процесс благодаря «мостику» между правым и левым полушариями. Чем крепче этот «мостик», тем быстрее и чаще по нему идут нервные импульсы, мыслительные процессы становятся активнее, внимание – точное, способности – выше. Если родители хотят, чтобы ребёнок придя на театральные уроки хорошо и правильно говорил, быстро и легко учился, ловко выполнял любую, самую тонкую работу, надо начинать занятия с развития его руки: пальцы и кисти.</w:t>
      </w:r>
    </w:p>
    <w:p>
      <w:pPr>
        <w:pStyle w:val="style93"/>
      </w:pPr>
      <w:r>
        <w:rPr>
          <w:bCs/>
        </w:rPr>
        <w:t>Для определения уровня развития речи разработан метод: педагог просит показать один пальчик, два пальчика, три пальчика. Учащимся, которым удаются изолированные движения пальцев, – «говорящие» дети. Если движения напряжённые, пальчики сгибаются и разгибаются только вместе и не могут двигаться отдельно друг от друга, то эти дети с проблемами в развитии речи.</w:t>
      </w:r>
    </w:p>
    <w:p>
      <w:pPr>
        <w:pStyle w:val="style94"/>
        <w:jc w:val="center"/>
      </w:pPr>
      <w:r>
        <w:rPr/>
        <w:t>Историческая справка:</w:t>
      </w:r>
    </w:p>
    <w:p>
      <w:pPr>
        <w:pStyle w:val="style93"/>
      </w:pPr>
      <w:r>
        <w:rPr/>
        <w:t xml:space="preserve">Влияние мануальных (ручных) действий на развитие мозга человека было известно ещё во II веке до н.э. в Китае. Специалисты утверждали, что игры с участием рук и пальцев типа нашей «Сорки-белобоки» помогают найти гармонию в тандеме тело – разум, поддерживают мозговые системы в превосходном состоянии. На основании подобных рассуждений японский врач Намикоси Токудзиро создал оздоравливающую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акупунктурных точек, массируя которые можно воздействовать на внутренние органы, рефлекторно с ними связанные. </w:t>
      </w:r>
    </w:p>
    <w:p>
      <w:pPr>
        <w:pStyle w:val="style94"/>
        <w:jc w:val="center"/>
      </w:pPr>
      <w:r>
        <w:rPr/>
        <w:t>Рекомендации:</w:t>
      </w:r>
    </w:p>
    <w:p>
      <w:pPr>
        <w:pStyle w:val="style93"/>
      </w:pPr>
      <w:r>
        <w:rPr/>
        <w:t>Не стараться опережать гимнастикой реальное возрастное развитие моторных навыков. Надо показывать, весело произнося слова пальчиковых игр, любые упражнения, тогда ребёнок будет их визуально запоминать и, быстро повторять за вами.</w:t>
      </w:r>
    </w:p>
    <w:p>
      <w:pPr>
        <w:pStyle w:val="style93"/>
      </w:pPr>
      <w:r>
        <w:rPr/>
        <w:t>Показывать нужно и простые, и сложные игры. Тем самым дать понять детям, что вам очень интересно играть в эти забавные игры или упражнения. Он становится вашим «партнёром» по игре – проходит время и он забывает про свои комплексы.</w:t>
      </w:r>
    </w:p>
    <w:p>
      <w:pPr>
        <w:pStyle w:val="style93"/>
      </w:pPr>
      <w:r>
        <w:rPr/>
        <w:t>В простые игры ученик начнёт играть, как только освоит движения и ритмику текста. А сложные игры сначала просто запомнит. Потом он самостоятельно попытается «играя», повторить заданное, и уж только тогда, когда вы этого меньше всего ожидаете, выполнит «как положено». Но всё равно некоторые движения трудно запомнить, поэтому ваша помощь и совместное участие необходимо. Проделывать это надо несколько раз.</w:t>
      </w:r>
    </w:p>
    <w:p>
      <w:pPr>
        <w:pStyle w:val="style93"/>
      </w:pPr>
      <w:r>
        <w:rPr/>
        <w:t>Главное помнить – что не надо давить на ребёнка, не демонстрировать ему на его неспособность. Со временем у него всё получится.</w:t>
      </w:r>
    </w:p>
    <w:p>
      <w:pPr>
        <w:pStyle w:val="style93"/>
      </w:pPr>
      <w:r>
        <w:rPr/>
        <w:t xml:space="preserve">Таким образом, </w:t>
      </w:r>
      <w:r>
        <w:rPr>
          <w:rFonts w:eastAsia="Calibri"/>
        </w:rPr>
        <w:t xml:space="preserve">ведущей педагогической идеей инновационного проекта является </w:t>
      </w:r>
      <w:r>
        <w:rPr/>
        <w:t>разумное сочетание традиционных и современных подходов к преподаванию предмета, которое позволит осуществлять целенаправленное формирование ключевых компетенций у учащихся и в конечном счёте повысить качество знаний по предмету и создать условия для успешной социализации личности.</w:t>
      </w:r>
    </w:p>
    <w:p>
      <w:pPr>
        <w:pStyle w:val="style94"/>
        <w:jc w:val="center"/>
      </w:pPr>
      <w:r>
        <w:rPr/>
        <w:t>Планирование этапов проекта</w:t>
      </w:r>
    </w:p>
    <w:tbl>
      <w:tblPr>
        <w:jc w:val="left"/>
        <w:tblInd w:type="dxa" w:w="-141"/>
        <w:tblBorders>
          <w:top w:color="C0C0C0" w:space="0" w:sz="6" w:val="thickThinLargeGap"/>
          <w:left w:color="C0C0C0" w:space="0" w:sz="6" w:val="thickThinLargeGap"/>
          <w:bottom w:color="C0C0C0" w:space="0" w:sz="6" w:val="thickThinLargeGap"/>
        </w:tblBorders>
      </w:tblPr>
      <w:tblGrid>
        <w:gridCol w:w="2962"/>
        <w:gridCol w:w="6960"/>
      </w:tblGrid>
      <w:tr>
        <w:trPr>
          <w:cantSplit w:val="false"/>
        </w:trPr>
        <w:tc>
          <w:tcPr>
            <w:tcW w:type="dxa" w:w="296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Этапы</w:t>
            </w:r>
          </w:p>
        </w:tc>
        <w:tc>
          <w:tcPr>
            <w:tcW w:type="dxa" w:w="696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Конкретные события</w:t>
            </w:r>
          </w:p>
        </w:tc>
      </w:tr>
      <w:tr>
        <w:trPr>
          <w:cantSplit w:val="false"/>
        </w:trPr>
        <w:tc>
          <w:tcPr>
            <w:tcW w:type="dxa" w:w="296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Организационно-подготовительный</w:t>
            </w:r>
          </w:p>
        </w:tc>
        <w:tc>
          <w:tcPr>
            <w:tcW w:type="dxa" w:w="696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Выбор темы проекта, его обоснование и формирование мотивации деятельности по выполнению проекта. </w:t>
            </w:r>
          </w:p>
          <w:p>
            <w:pPr>
              <w:pStyle w:val="style93"/>
            </w:pPr>
            <w:r>
              <w:rPr/>
              <w:t>Создание команды проекта.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Составление плана работы по выполнению проекта.</w:t>
            </w:r>
          </w:p>
        </w:tc>
      </w:tr>
      <w:tr>
        <w:trPr>
          <w:cantSplit w:val="false"/>
        </w:trPr>
        <w:tc>
          <w:tcPr>
            <w:tcW w:type="dxa" w:w="296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Конструктивный этап</w:t>
            </w:r>
          </w:p>
        </w:tc>
        <w:tc>
          <w:tcPr>
            <w:tcW w:type="dxa" w:w="696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Формирование идей по направлениям реализации проекта.</w:t>
            </w:r>
          </w:p>
          <w:p>
            <w:pPr>
              <w:pStyle w:val="style93"/>
            </w:pPr>
            <w:r>
              <w:rPr/>
              <w:t>Выявление наилучшей идеи.</w:t>
            </w:r>
          </w:p>
          <w:p>
            <w:pPr>
              <w:pStyle w:val="style93"/>
            </w:pPr>
            <w:r>
              <w:rPr/>
              <w:t>Создание картотеки игр, упражнений, сценария.</w:t>
            </w:r>
          </w:p>
          <w:p>
            <w:pPr>
              <w:pStyle w:val="style93"/>
            </w:pPr>
            <w:r>
              <w:rPr/>
              <w:t>Рассмотрение нескольких возможных вариантов выполнения проекта и отбор наиболее оптимального варианта.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Изучение истории.</w:t>
            </w:r>
          </w:p>
        </w:tc>
      </w:tr>
      <w:tr>
        <w:trPr>
          <w:cantSplit w:val="false"/>
        </w:trPr>
        <w:tc>
          <w:tcPr>
            <w:tcW w:type="dxa" w:w="296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Технологический этап</w:t>
            </w:r>
          </w:p>
        </w:tc>
        <w:tc>
          <w:tcPr>
            <w:tcW w:type="dxa" w:w="696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Изготовление изделий для пальчиковых игр.</w:t>
            </w:r>
          </w:p>
          <w:p>
            <w:pPr>
              <w:pStyle w:val="style93"/>
            </w:pPr>
            <w:r>
              <w:rPr/>
              <w:t xml:space="preserve">Практические занятия по выполнению кукол </w:t>
            </w:r>
          </w:p>
          <w:p>
            <w:pPr>
              <w:pStyle w:val="style93"/>
            </w:pPr>
            <w:r>
              <w:rPr/>
              <w:t>Сбор и изготовление костюмов.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Оформление мини-сцены.</w:t>
            </w:r>
          </w:p>
        </w:tc>
      </w:tr>
      <w:tr>
        <w:trPr>
          <w:cantSplit w:val="false"/>
        </w:trPr>
        <w:tc>
          <w:tcPr>
            <w:tcW w:type="dxa" w:w="296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Заключительный этап.</w:t>
            </w:r>
          </w:p>
        </w:tc>
        <w:tc>
          <w:tcPr>
            <w:tcW w:type="dxa" w:w="696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Проведение открытого урока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Самооценка и рефлексия.</w:t>
            </w:r>
          </w:p>
        </w:tc>
      </w:tr>
    </w:tbl>
    <w:p>
      <w:pPr>
        <w:pStyle w:val="style94"/>
        <w:jc w:val="center"/>
      </w:pPr>
      <w:r>
        <w:rPr/>
        <w:t>1. Этапы реализации проекта:</w:t>
      </w:r>
    </w:p>
    <w:tbl>
      <w:tblPr>
        <w:jc w:val="left"/>
        <w:tblInd w:type="dxa" w:w="-11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4785"/>
        <w:gridCol w:w="4796"/>
      </w:tblGrid>
      <w:tr>
        <w:trPr>
          <w:cantSplit w:val="false"/>
        </w:trPr>
        <w:tc>
          <w:tcPr>
            <w:tcW w:type="dxa" w:w="47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Подготовительный 2012-2013 год</w:t>
            </w:r>
          </w:p>
        </w:tc>
        <w:tc>
          <w:tcPr>
            <w:tcW w:type="dxa" w:w="47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-Изучение теоретических основ проблемы; -разработка модели; - создание картотеки</w:t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Поисково – экспериментальный 2013 – 2014 год</w:t>
            </w:r>
          </w:p>
        </w:tc>
        <w:tc>
          <w:tcPr>
            <w:tcW w:type="dxa" w:w="47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-Апробирование модели; - мониторинг процесса и промежуточных результатов; -корректировка дальнейшей работы.</w:t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Заключительный 2014-2015г</w:t>
            </w:r>
          </w:p>
        </w:tc>
        <w:tc>
          <w:tcPr>
            <w:tcW w:type="dxa" w:w="479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- Оценка эффективности модели; - анализ результатов, обобщение и распространение опыта.</w:t>
            </w:r>
          </w:p>
        </w:tc>
      </w:tr>
    </w:tbl>
    <w:p>
      <w:pPr>
        <w:pStyle w:val="style0"/>
        <w:ind w:firstLine="709" w:left="0" w:right="0"/>
        <w:jc w:val="center"/>
      </w:pPr>
      <w:r>
        <w:rPr>
          <w:b/>
        </w:rPr>
      </w:r>
    </w:p>
    <w:p>
      <w:pPr>
        <w:pStyle w:val="style94"/>
        <w:jc w:val="center"/>
      </w:pPr>
      <w:r>
        <w:rPr/>
        <w:t>2. Формы и этапы реализации проекта</w:t>
      </w:r>
    </w:p>
    <w:p>
      <w:pPr>
        <w:pStyle w:val="style0"/>
        <w:ind w:firstLine="709" w:left="0" w:right="0"/>
        <w:jc w:val="both"/>
      </w:pPr>
      <w:r>
        <w:rPr>
          <w:b/>
        </w:rPr>
      </w:r>
    </w:p>
    <w:tbl>
      <w:tblPr>
        <w:jc w:val="left"/>
        <w:tblInd w:type="dxa" w:w="-11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3190"/>
        <w:gridCol w:w="3190"/>
        <w:gridCol w:w="3200"/>
      </w:tblGrid>
      <w:tr>
        <w:trPr>
          <w:cantSplit w:val="false"/>
        </w:trPr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Содержание работы</w:t>
            </w:r>
          </w:p>
        </w:tc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Прогнозируемый результат</w:t>
            </w:r>
          </w:p>
        </w:tc>
        <w:tc>
          <w:tcPr>
            <w:tcW w:type="dxa" w:w="3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Сроки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выполнения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1. Проведение диагностического исследования (первичное).</w:t>
            </w:r>
          </w:p>
        </w:tc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Выявление уровня развития мелкой моторики рук.</w:t>
            </w:r>
          </w:p>
        </w:tc>
        <w:tc>
          <w:tcPr>
            <w:tcW w:type="dxa" w:w="3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Сентябрь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2. Создание картотеки пальчиковых игр и игр-драматизаций</w:t>
            </w:r>
          </w:p>
        </w:tc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Теоретическая подготовка к последующей деятельности с детьми.</w:t>
            </w:r>
          </w:p>
        </w:tc>
        <w:tc>
          <w:tcPr>
            <w:tcW w:type="dxa" w:w="3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Октябрь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3. Проведение пальчиковых игр в различных видах деятельности</w:t>
            </w:r>
          </w:p>
        </w:tc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Развитие мелкой моторики рук.</w:t>
            </w:r>
          </w:p>
        </w:tc>
        <w:tc>
          <w:tcPr>
            <w:tcW w:type="dxa" w:w="3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В течение года</w:t>
            </w:r>
          </w:p>
        </w:tc>
      </w:tr>
      <w:tr>
        <w:trPr>
          <w:cantSplit w:val="false"/>
        </w:trPr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4. Проведение контрольного диагностического исследования</w:t>
            </w:r>
          </w:p>
        </w:tc>
        <w:tc>
          <w:tcPr>
            <w:tcW w:type="dxa" w:w="31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Проведение мониторинга результатов развития мелкой моторики рук.</w:t>
            </w:r>
          </w:p>
        </w:tc>
        <w:tc>
          <w:tcPr>
            <w:tcW w:type="dxa" w:w="3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>Май</w:t>
            </w:r>
          </w:p>
        </w:tc>
      </w:tr>
    </w:tbl>
    <w:p>
      <w:pPr>
        <w:pStyle w:val="style93"/>
      </w:pPr>
      <w:r>
        <w:rPr/>
        <w:t>Перед тем, как приступить к решению поставленной перед собой задачи, я провела тестирование для выявления уровня сформированности ключевых компетенций у учащихся. Для этого я использовала пальчиковую игру-упражнение «Зайчики», тестовые задания и анкеты, предусмотренные в работе «Оценка над предметными понятиями, ключевых компетентностей и социального опыта учащихся»</w:t>
      </w:r>
    </w:p>
    <w:p>
      <w:pPr>
        <w:pStyle w:val="style93"/>
      </w:pPr>
      <w:r>
        <w:rPr/>
        <w:t>Диагностика приводилось с учащимися 1-3 классов. Данные показали, что необходимо срочно создать условия для системного подхода к формированию общей компетентности учащихся и внедрению компетентностного подхода в образовательный процесс.</w:t>
      </w:r>
    </w:p>
    <w:p>
      <w:pPr>
        <w:pStyle w:val="style93"/>
      </w:pPr>
      <w:r>
        <w:rPr>
          <w:rFonts w:eastAsia="Calibri"/>
        </w:rPr>
        <w:t xml:space="preserve">Далее я </w:t>
      </w:r>
      <w:r>
        <w:rPr/>
        <w:t xml:space="preserve">изучила и проанализировала состояние проблемы в педагогической теории и практике. </w:t>
      </w:r>
    </w:p>
    <w:p>
      <w:pPr>
        <w:pStyle w:val="style93"/>
      </w:pPr>
      <w:r>
        <w:rPr/>
        <w:t>Вопросы, направляющие проект:</w:t>
      </w:r>
    </w:p>
    <w:p>
      <w:pPr>
        <w:pStyle w:val="style93"/>
        <w:numPr>
          <w:ilvl w:val="0"/>
          <w:numId w:val="2"/>
        </w:numPr>
      </w:pPr>
      <w:r>
        <w:rPr/>
        <w:t>Для чего нужны пальчиковые игры</w:t>
      </w:r>
    </w:p>
    <w:p>
      <w:pPr>
        <w:pStyle w:val="style93"/>
      </w:pPr>
      <w:r>
        <w:rPr/>
        <w:t>Проблемные вопросы:</w:t>
      </w:r>
    </w:p>
    <w:p>
      <w:pPr>
        <w:pStyle w:val="style93"/>
        <w:numPr>
          <w:ilvl w:val="0"/>
          <w:numId w:val="5"/>
        </w:numPr>
      </w:pPr>
      <w:r>
        <w:rPr/>
        <w:t>Как развивалась история пальчиковой игры?</w:t>
      </w:r>
    </w:p>
    <w:p>
      <w:pPr>
        <w:pStyle w:val="style93"/>
      </w:pPr>
      <w:r>
        <w:rPr/>
        <w:t>Учебные вопросы:</w:t>
      </w:r>
    </w:p>
    <w:p>
      <w:pPr>
        <w:pStyle w:val="style93"/>
        <w:numPr>
          <w:ilvl w:val="0"/>
          <w:numId w:val="5"/>
        </w:numPr>
      </w:pPr>
      <w:r>
        <w:rPr/>
        <w:t>Какие виды игр существуют?</w:t>
      </w:r>
    </w:p>
    <w:p>
      <w:pPr>
        <w:pStyle w:val="style93"/>
        <w:numPr>
          <w:ilvl w:val="0"/>
          <w:numId w:val="5"/>
        </w:numPr>
      </w:pPr>
      <w:r>
        <w:rPr/>
        <w:t>В чём особенности пальчиковой игры?</w:t>
      </w:r>
    </w:p>
    <w:p>
      <w:pPr>
        <w:pStyle w:val="style93"/>
        <w:numPr>
          <w:ilvl w:val="0"/>
          <w:numId w:val="5"/>
        </w:numPr>
      </w:pPr>
      <w:r>
        <w:rPr/>
        <w:t>Из чего делают пальчиковые куклы?</w:t>
      </w:r>
    </w:p>
    <w:p>
      <w:pPr>
        <w:pStyle w:val="style93"/>
        <w:numPr>
          <w:ilvl w:val="0"/>
          <w:numId w:val="5"/>
        </w:numPr>
      </w:pPr>
      <w:r>
        <w:rPr/>
        <w:t>Как самому «оживить» куклу?</w:t>
      </w:r>
    </w:p>
    <w:p>
      <w:pPr>
        <w:pStyle w:val="style93"/>
        <w:numPr>
          <w:ilvl w:val="0"/>
          <w:numId w:val="5"/>
        </w:numPr>
      </w:pPr>
      <w:r>
        <w:rPr/>
        <w:t>Как сделать декорацию к мини-спектаклю?</w:t>
      </w:r>
    </w:p>
    <w:p>
      <w:pPr>
        <w:pStyle w:val="style93"/>
      </w:pPr>
      <w:bookmarkStart w:id="0" w:name=".D0.A3.D1.87.D0.B5.D0.B1.D0.BD.D1.8B.D0."/>
      <w:bookmarkStart w:id="1" w:name=".D0.9F.D1.80.D0.BE.D0.B1.D0.BB.D0.B5.D0."/>
      <w:bookmarkEnd w:id="0"/>
      <w:bookmarkEnd w:id="1"/>
      <w:r>
        <w:rPr/>
        <w:t>На вопрос «для чего нужны пальчиковые игры» легко может ответить любой специалист. Эти простые упражнения для пальцев помогут синхронизировать работу левого и правого полушария, создавая своеобразную перемычку между ними. Левое полушарие отвечает за словесную речь во время игры, а правое – за развитие фантазии и воображения. И если связь между ними крепкая, то нервные импульсы проходят чаще и быстрей, активизируя мышление и внимание ребенка.</w:t>
      </w:r>
    </w:p>
    <w:p>
      <w:pPr>
        <w:pStyle w:val="style94"/>
        <w:jc w:val="center"/>
      </w:pPr>
      <w:r>
        <w:rPr/>
        <w:t>Показатели результативности реализации проекта</w:t>
      </w:r>
    </w:p>
    <w:p>
      <w:pPr>
        <w:pStyle w:val="style93"/>
        <w:numPr>
          <w:ilvl w:val="0"/>
          <w:numId w:val="6"/>
        </w:numPr>
      </w:pPr>
      <w:r>
        <w:rPr/>
        <w:t xml:space="preserve">Благодаря предложенным простым игровым формам работы обучающиеся становятся более раскрепощёнными, внимательными, с удовольствием работают на учебном занятии. </w:t>
      </w:r>
    </w:p>
    <w:p>
      <w:pPr>
        <w:pStyle w:val="style93"/>
        <w:numPr>
          <w:ilvl w:val="0"/>
          <w:numId w:val="6"/>
        </w:numPr>
      </w:pPr>
      <w:r>
        <w:rPr/>
        <w:t xml:space="preserve">Активно развивается артикуляционный аппарат в соответствии с особенностями каждого ребёнка, что особо важно на первоначальном этапе обучения. </w:t>
      </w:r>
    </w:p>
    <w:p>
      <w:pPr>
        <w:pStyle w:val="style93"/>
        <w:numPr>
          <w:ilvl w:val="0"/>
          <w:numId w:val="6"/>
        </w:numPr>
      </w:pPr>
      <w:r>
        <w:rPr/>
        <w:t xml:space="preserve">Развивается голосовой аппарат, культура и звучание голоса детей постепенно выравнивается, что позволяет им пользоваться при разговоре разными регистрами. </w:t>
      </w:r>
    </w:p>
    <w:p>
      <w:pPr>
        <w:pStyle w:val="style93"/>
        <w:numPr>
          <w:ilvl w:val="0"/>
          <w:numId w:val="6"/>
        </w:numPr>
      </w:pPr>
      <w:r>
        <w:rPr/>
        <w:t xml:space="preserve">Исполнение произведений становится более эмоциональным и осознанным, в движениях появляются синхронность, слаженность, развивается пластика. </w:t>
      </w:r>
    </w:p>
    <w:p>
      <w:pPr>
        <w:pStyle w:val="style93"/>
        <w:numPr>
          <w:ilvl w:val="0"/>
          <w:numId w:val="6"/>
        </w:numPr>
      </w:pPr>
      <w:r>
        <w:rPr/>
        <w:t xml:space="preserve">Развивается чувство темпоритма, координация слуха. </w:t>
      </w:r>
    </w:p>
    <w:p>
      <w:pPr>
        <w:pStyle w:val="style93"/>
        <w:numPr>
          <w:ilvl w:val="0"/>
          <w:numId w:val="6"/>
        </w:numPr>
      </w:pPr>
      <w:r>
        <w:rPr/>
        <w:t xml:space="preserve">В работе с историей театра обучающиеся свободно оперируют полученными теоретическими знаниями, умело и грамотно анализируют новый материал. </w:t>
      </w:r>
    </w:p>
    <w:p>
      <w:pPr>
        <w:pStyle w:val="style93"/>
        <w:numPr>
          <w:ilvl w:val="0"/>
          <w:numId w:val="6"/>
        </w:numPr>
      </w:pPr>
      <w:r>
        <w:rPr/>
        <w:t xml:space="preserve">Сценическое выступление приносит детям огромное удовольствие, благодаря приобретенной свободе творческого «высказывания» с помощью простых игровых приемов, оно становится с каждым новым выступлением более ярким, эмоциональным, улучшаются качественные показатели. </w:t>
      </w:r>
    </w:p>
    <w:p>
      <w:pPr>
        <w:pStyle w:val="style93"/>
        <w:numPr>
          <w:ilvl w:val="0"/>
          <w:numId w:val="6"/>
        </w:numPr>
      </w:pPr>
      <w:r>
        <w:rPr/>
        <w:t xml:space="preserve">Повышается культура общения в коллективе, у детей складываются доверительные, дружеские отношения между собой не только в пределах учебной группы, но и между участниками концертного хора, который, как известно, включает в себя обучающихся разных групп. </w:t>
      </w:r>
    </w:p>
    <w:p>
      <w:pPr>
        <w:pStyle w:val="style93"/>
        <w:numPr>
          <w:ilvl w:val="0"/>
          <w:numId w:val="6"/>
        </w:numPr>
      </w:pPr>
      <w:r>
        <w:rPr/>
        <w:t xml:space="preserve">Дети становятся более любознательными, эмоционально отзывчивыми, улучшается сценическая выразительность исполнения. </w:t>
      </w:r>
    </w:p>
    <w:p>
      <w:pPr>
        <w:pStyle w:val="style94"/>
        <w:jc w:val="center"/>
      </w:pPr>
      <w:r>
        <w:rPr/>
        <w:t>Материалы по формирующему итоговому оцениванию</w:t>
      </w:r>
    </w:p>
    <w:tbl>
      <w:tblPr>
        <w:jc w:val="left"/>
        <w:tblInd w:type="dxa" w:w="-67"/>
        <w:tblBorders>
          <w:top w:color="C0C0C0" w:space="0" w:sz="6" w:val="thickThinLargeGap"/>
          <w:left w:color="C0C0C0" w:space="0" w:sz="6" w:val="thickThinLargeGap"/>
          <w:bottom w:color="C0C0C0" w:space="0" w:sz="6" w:val="thickThinLargeGap"/>
        </w:tblBorders>
      </w:tblPr>
      <w:tblGrid>
        <w:gridCol w:w="3258"/>
        <w:gridCol w:w="3243"/>
        <w:gridCol w:w="3273"/>
      </w:tblGrid>
      <w:tr>
        <w:trPr>
          <w:cantSplit w:val="false"/>
        </w:trPr>
        <w:tc>
          <w:tcPr>
            <w:tcW w:type="dxa" w:w="3258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До работы над проектом </w:t>
            </w:r>
          </w:p>
        </w:tc>
        <w:tc>
          <w:tcPr>
            <w:tcW w:type="dxa" w:w="324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Ученики работают над проектом и выполняют задания </w:t>
            </w:r>
          </w:p>
        </w:tc>
        <w:tc>
          <w:tcPr>
            <w:tcW w:type="dxa" w:w="327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После завершения работы над проектом </w:t>
            </w:r>
          </w:p>
        </w:tc>
      </w:tr>
      <w:tr>
        <w:trPr>
          <w:cantSplit w:val="false"/>
        </w:trPr>
        <w:tc>
          <w:tcPr>
            <w:tcW w:type="dxa" w:w="3258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Мозговой штурм 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Обсуждение вопросов, разделение на группы </w:t>
            </w:r>
          </w:p>
        </w:tc>
        <w:tc>
          <w:tcPr>
            <w:tcW w:type="dxa" w:w="324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Журнал наблюдений </w:t>
            </w:r>
          </w:p>
          <w:p>
            <w:pPr>
              <w:pStyle w:val="style93"/>
            </w:pPr>
            <w:r>
              <w:rPr/>
              <w:t xml:space="preserve">Оценочные листы (презентации, буклеты, куклы) 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Обсуждение промежуточных результатов деятельности </w:t>
            </w:r>
          </w:p>
        </w:tc>
        <w:tc>
          <w:tcPr>
            <w:tcW w:type="dxa" w:w="327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Критерии оценивания проекта </w:t>
            </w:r>
          </w:p>
          <w:p>
            <w:pPr>
              <w:pStyle w:val="style93"/>
            </w:pPr>
            <w:r>
              <w:rPr/>
              <w:t xml:space="preserve">Итоговый спектакль </w:t>
            </w:r>
          </w:p>
          <w:p>
            <w:pPr>
              <w:pStyle w:val="style93"/>
            </w:pPr>
            <w:r>
              <w:rPr/>
              <w:t xml:space="preserve">Заполнение анкеты участника проекта. </w:t>
            </w:r>
          </w:p>
          <w:p>
            <w:pPr>
              <w:pStyle w:val="style93"/>
            </w:pPr>
            <w:r>
              <w:rPr/>
              <w:t xml:space="preserve">Таблицы оценивания проекта </w:t>
            </w:r>
          </w:p>
          <w:p>
            <w:pPr>
              <w:pStyle w:val="style93"/>
            </w:pPr>
            <w:r>
              <w:rPr/>
              <w:t xml:space="preserve">Статья о спектакле </w:t>
            </w:r>
          </w:p>
          <w:p>
            <w:pPr>
              <w:pStyle w:val="style93"/>
            </w:pPr>
            <w:r>
              <w:rPr/>
              <w:t xml:space="preserve">Оценка экспертов </w:t>
            </w:r>
          </w:p>
          <w:p>
            <w:pPr>
              <w:pStyle w:val="style93"/>
              <w:spacing w:after="60" w:before="60"/>
              <w:ind w:firstLine="567" w:left="0" w:right="0"/>
              <w:contextualSpacing w:val="false"/>
            </w:pPr>
            <w:r>
              <w:rPr/>
              <w:t xml:space="preserve">Рефлексия </w:t>
            </w:r>
          </w:p>
        </w:tc>
      </w:tr>
    </w:tbl>
    <w:p>
      <w:pPr>
        <w:pStyle w:val="style93"/>
      </w:pPr>
      <w:r>
        <w:rPr/>
        <w:t>Только задумайтесь: такие простые манипуляции с пальчиками, а сколько пользы!</w:t>
      </w:r>
    </w:p>
    <w:p>
      <w:pPr>
        <w:pStyle w:val="style93"/>
      </w:pPr>
      <w:r>
        <w:rPr/>
        <w:t>Положительное воздействие на внутренние органы, тонизирующий, иммуностимулирующий эффект – это раз!</w:t>
      </w:r>
    </w:p>
    <w:p>
      <w:pPr>
        <w:pStyle w:val="style93"/>
      </w:pPr>
      <w:r>
        <w:rPr/>
        <w:t>Стимуляция мыслительных функций и речи – это два!</w:t>
      </w:r>
    </w:p>
    <w:p>
      <w:pPr>
        <w:pStyle w:val="style93"/>
      </w:pPr>
      <w:r>
        <w:rPr/>
        <w:t xml:space="preserve">Весёлое общение и заряд положительных эмоций – это три! </w:t>
      </w:r>
    </w:p>
    <w:p>
      <w:pPr>
        <w:pStyle w:val="style93"/>
      </w:pPr>
      <w:r>
        <w:rPr/>
        <w:t>Думаю что для этого вполне достаточно, чтобы пальчиковые упражнения и игры уверенно обосновались в вашем арсенале творческой деятельности.</w:t>
      </w:r>
    </w:p>
    <w:p>
      <w:pPr>
        <w:pStyle w:val="style94"/>
        <w:jc w:val="center"/>
      </w:pPr>
      <w:r>
        <w:rPr/>
        <w:t>Весёлых игр Вам и Вашим детям!</w:t>
      </w:r>
    </w:p>
    <w:p>
      <w:pPr>
        <w:pStyle w:val="style94"/>
        <w:pageBreakBefore/>
        <w:jc w:val="center"/>
      </w:pPr>
      <w:r>
        <w:rPr/>
        <w:t>Литература:</w:t>
      </w:r>
    </w:p>
    <w:p>
      <w:pPr>
        <w:pStyle w:val="style93"/>
        <w:numPr>
          <w:ilvl w:val="0"/>
          <w:numId w:val="3"/>
        </w:numPr>
      </w:pPr>
      <w:r>
        <w:rPr/>
        <w:t>Хвостовцев А. Детки-непоседки. Пальчиковые игры для детей от 3 до 6 лет. – Новосибирск: Сиб.унив. изд-во, 2009. – 48с. (Пальчики)</w:t>
      </w:r>
    </w:p>
    <w:p>
      <w:pPr>
        <w:pStyle w:val="style93"/>
        <w:numPr>
          <w:ilvl w:val="0"/>
          <w:numId w:val="3"/>
        </w:numPr>
      </w:pPr>
      <w:r>
        <w:rPr/>
        <w:t>В.В.Цвентарный. Играем пальчиками и развиваем речь.-СПб.: Лань,1996. (документ пальчиковые игры от 29.01.10)</w:t>
      </w:r>
    </w:p>
    <w:p>
      <w:pPr>
        <w:pStyle w:val="style93"/>
        <w:numPr>
          <w:ilvl w:val="0"/>
          <w:numId w:val="3"/>
        </w:numPr>
      </w:pPr>
      <w:r>
        <w:rPr/>
        <w:t>О.В.Узорова. Пальчиковая гимнастика.-М.:ООО «Издательство Астрель»:ООО Издательство АСТ»,2003. (папка гимнастика)</w:t>
      </w:r>
    </w:p>
    <w:p>
      <w:pPr>
        <w:pStyle w:val="style93"/>
        <w:numPr>
          <w:ilvl w:val="0"/>
          <w:numId w:val="3"/>
        </w:numPr>
      </w:pPr>
      <w:r>
        <w:rPr/>
        <w:t>М.С.Рузина, С.Ю.Афонькин. Страна пальчиковых игр: Развивающие игры.-СПб.:Кристалл,1997. (документ пальчиковая гимнастика от 02.02.10)</w:t>
      </w:r>
    </w:p>
    <w:p>
      <w:pPr>
        <w:pStyle w:val="style93"/>
        <w:numPr>
          <w:ilvl w:val="0"/>
          <w:numId w:val="3"/>
        </w:numPr>
      </w:pPr>
      <w:r>
        <w:rPr/>
        <w:t>В.А.Киселева. Диагностика и коррекция стертой формы дизартрии. Пособие для логопедов.-М.:Школьная пресса, 2007. (папка из диагностики и коррекции стертой формы дизартрии)</w:t>
      </w:r>
    </w:p>
    <w:p>
      <w:pPr>
        <w:pStyle w:val="style93"/>
        <w:numPr>
          <w:ilvl w:val="0"/>
          <w:numId w:val="3"/>
        </w:numPr>
      </w:pPr>
      <w:r>
        <w:rPr/>
        <w:t>А.Л.Сиротюк.Коррекция развития интеллекта.-М.: ТЦ Сфера,2001.(последний документ с фотографиями)</w:t>
      </w:r>
    </w:p>
    <w:p>
      <w:pPr>
        <w:pStyle w:val="style93"/>
        <w:numPr>
          <w:ilvl w:val="0"/>
          <w:numId w:val="3"/>
        </w:numPr>
        <w:spacing w:after="60" w:before="60"/>
        <w:contextualSpacing w:val="false"/>
      </w:pPr>
      <w:r>
        <w:rPr/>
        <w:t>Е.В.Метус,А.В.Литвина.Логопедические занятия со школьниками.-СПб.:КАРО,2006.</w:t>
      </w:r>
    </w:p>
    <w:sectPr>
      <w:type w:val="nextPage"/>
      <w:pgSz w:h="16838" w:w="11906"/>
      <w:pgMar w:bottom="851" w:footer="0" w:gutter="0" w:header="0" w:left="1276" w:right="991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426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2z0"/>
    <w:next w:val="style15"/>
    <w:rPr>
      <w:rFonts w:ascii="Symbol" w:cs="Symbol" w:hAnsi="Symbol"/>
    </w:rPr>
  </w:style>
  <w:style w:styleId="style16" w:type="character">
    <w:name w:val="WW8Num2z1"/>
    <w:next w:val="style16"/>
    <w:rPr>
      <w:rFonts w:ascii="Courier New" w:cs="Courier New" w:hAnsi="Courier New"/>
    </w:rPr>
  </w:style>
  <w:style w:styleId="style17" w:type="character">
    <w:name w:val="WW8Num2z2"/>
    <w:next w:val="style17"/>
    <w:rPr>
      <w:rFonts w:ascii="Wingdings" w:cs="Wingdings" w:hAnsi="Wingdings"/>
    </w:rPr>
  </w:style>
  <w:style w:styleId="style18" w:type="character">
    <w:name w:val="WW8Num3z0"/>
    <w:next w:val="style18"/>
    <w:rPr>
      <w:rFonts w:ascii="Symbol" w:cs="Symbol" w:hAnsi="Symbol"/>
      <w:sz w:val="20"/>
    </w:rPr>
  </w:style>
  <w:style w:styleId="style19" w:type="character">
    <w:name w:val="WW8Num3z1"/>
    <w:next w:val="style19"/>
    <w:rPr>
      <w:rFonts w:ascii="Courier New" w:cs="Courier New" w:hAnsi="Courier New"/>
      <w:sz w:val="20"/>
    </w:rPr>
  </w:style>
  <w:style w:styleId="style20" w:type="character">
    <w:name w:val="WW8Num3z2"/>
    <w:next w:val="style20"/>
    <w:rPr>
      <w:rFonts w:ascii="Wingdings" w:cs="Wingdings" w:hAnsi="Wingdings"/>
      <w:sz w:val="20"/>
    </w:rPr>
  </w:style>
  <w:style w:styleId="style21" w:type="character">
    <w:name w:val="WW8Num4z0"/>
    <w:next w:val="style21"/>
    <w:rPr>
      <w:rFonts w:ascii="Symbol" w:cs="Symbol" w:hAnsi="Symbol"/>
      <w:sz w:val="20"/>
    </w:rPr>
  </w:style>
  <w:style w:styleId="style22" w:type="character">
    <w:name w:val="WW8Num4z1"/>
    <w:next w:val="style22"/>
    <w:rPr>
      <w:rFonts w:ascii="Courier New" w:cs="Courier New" w:hAnsi="Courier New"/>
      <w:sz w:val="20"/>
    </w:rPr>
  </w:style>
  <w:style w:styleId="style23" w:type="character">
    <w:name w:val="WW8Num4z2"/>
    <w:next w:val="style23"/>
    <w:rPr>
      <w:rFonts w:ascii="Wingdings" w:cs="Wingdings" w:hAnsi="Wingdings"/>
      <w:sz w:val="20"/>
    </w:rPr>
  </w:style>
  <w:style w:styleId="style24" w:type="character">
    <w:name w:val="WW8Num5z0"/>
    <w:next w:val="style24"/>
    <w:rPr>
      <w:rFonts w:ascii="Symbol" w:cs="Symbol" w:hAnsi="Symbol"/>
    </w:rPr>
  </w:style>
  <w:style w:styleId="style25" w:type="character">
    <w:name w:val="WW8Num5z1"/>
    <w:next w:val="style25"/>
    <w:rPr>
      <w:rFonts w:ascii="Courier New" w:cs="Courier New" w:hAnsi="Courier New"/>
    </w:rPr>
  </w:style>
  <w:style w:styleId="style26" w:type="character">
    <w:name w:val="WW8Num5z2"/>
    <w:next w:val="style26"/>
    <w:rPr>
      <w:rFonts w:ascii="Wingdings" w:cs="Wingdings" w:hAnsi="Wingdings"/>
    </w:rPr>
  </w:style>
  <w:style w:styleId="style27" w:type="character">
    <w:name w:val="WW8Num6z0"/>
    <w:next w:val="style27"/>
    <w:rPr>
      <w:rFonts w:ascii="Symbol" w:cs="Symbol" w:hAnsi="Symbol"/>
      <w:sz w:val="20"/>
    </w:rPr>
  </w:style>
  <w:style w:styleId="style28" w:type="character">
    <w:name w:val="WW8Num6z1"/>
    <w:next w:val="style28"/>
    <w:rPr>
      <w:rFonts w:ascii="Courier New" w:cs="Courier New" w:hAnsi="Courier New"/>
      <w:sz w:val="20"/>
    </w:rPr>
  </w:style>
  <w:style w:styleId="style29" w:type="character">
    <w:name w:val="WW8Num6z2"/>
    <w:next w:val="style29"/>
    <w:rPr>
      <w:rFonts w:ascii="Wingdings" w:cs="Wingdings" w:hAnsi="Wingdings"/>
      <w:sz w:val="20"/>
    </w:rPr>
  </w:style>
  <w:style w:styleId="style30" w:type="character">
    <w:name w:val="WW8Num7z0"/>
    <w:next w:val="style30"/>
    <w:rPr>
      <w:rFonts w:ascii="Symbol" w:cs="Symbol" w:hAnsi="Symbol"/>
    </w:rPr>
  </w:style>
  <w:style w:styleId="style31" w:type="character">
    <w:name w:val="WW8Num7z1"/>
    <w:next w:val="style31"/>
    <w:rPr>
      <w:rFonts w:ascii="Courier New" w:cs="Courier New" w:hAnsi="Courier New"/>
    </w:rPr>
  </w:style>
  <w:style w:styleId="style32" w:type="character">
    <w:name w:val="WW8Num7z2"/>
    <w:next w:val="style32"/>
    <w:rPr>
      <w:rFonts w:ascii="Wingdings" w:cs="Wingdings" w:hAnsi="Wingdings"/>
    </w:rPr>
  </w:style>
  <w:style w:styleId="style33" w:type="character">
    <w:name w:val="WW8Num8z0"/>
    <w:next w:val="style33"/>
    <w:rPr>
      <w:rFonts w:ascii="Symbol" w:cs="Symbol" w:hAnsi="Symbol"/>
    </w:rPr>
  </w:style>
  <w:style w:styleId="style34" w:type="character">
    <w:name w:val="WW8Num8z1"/>
    <w:next w:val="style34"/>
    <w:rPr>
      <w:rFonts w:ascii="Courier New" w:cs="Courier New" w:hAnsi="Courier New"/>
    </w:rPr>
  </w:style>
  <w:style w:styleId="style35" w:type="character">
    <w:name w:val="WW8Num8z2"/>
    <w:next w:val="style35"/>
    <w:rPr>
      <w:rFonts w:ascii="Wingdings" w:cs="Wingdings" w:hAnsi="Wingdings"/>
    </w:rPr>
  </w:style>
  <w:style w:styleId="style36" w:type="character">
    <w:name w:val="WW8Num9z0"/>
    <w:next w:val="style36"/>
    <w:rPr>
      <w:rFonts w:ascii="Symbol" w:cs="Symbol" w:hAnsi="Symbol"/>
      <w:sz w:val="20"/>
    </w:rPr>
  </w:style>
  <w:style w:styleId="style37" w:type="character">
    <w:name w:val="WW8Num9z1"/>
    <w:next w:val="style37"/>
    <w:rPr>
      <w:rFonts w:ascii="Courier New" w:cs="Courier New" w:hAnsi="Courier New"/>
      <w:sz w:val="20"/>
    </w:rPr>
  </w:style>
  <w:style w:styleId="style38" w:type="character">
    <w:name w:val="WW8Num9z2"/>
    <w:next w:val="style38"/>
    <w:rPr>
      <w:rFonts w:ascii="Wingdings" w:cs="Wingdings" w:hAnsi="Wingdings"/>
      <w:sz w:val="20"/>
    </w:rPr>
  </w:style>
  <w:style w:styleId="style39" w:type="character">
    <w:name w:val="WW8Num10z0"/>
    <w:next w:val="style39"/>
    <w:rPr>
      <w:rFonts w:ascii="Symbol" w:cs="Symbol" w:hAnsi="Symbol"/>
    </w:rPr>
  </w:style>
  <w:style w:styleId="style40" w:type="character">
    <w:name w:val="WW8Num10z1"/>
    <w:next w:val="style40"/>
    <w:rPr>
      <w:rFonts w:ascii="Courier New" w:cs="Courier New" w:hAnsi="Courier New"/>
    </w:rPr>
  </w:style>
  <w:style w:styleId="style41" w:type="character">
    <w:name w:val="WW8Num10z2"/>
    <w:next w:val="style41"/>
    <w:rPr>
      <w:rFonts w:ascii="Wingdings" w:cs="Wingdings" w:hAnsi="Wingdings"/>
    </w:rPr>
  </w:style>
  <w:style w:styleId="style42" w:type="character">
    <w:name w:val="WW8Num11z0"/>
    <w:next w:val="style42"/>
    <w:rPr>
      <w:rFonts w:ascii="Symbol" w:cs="Symbol" w:hAnsi="Symbol"/>
      <w:sz w:val="20"/>
    </w:rPr>
  </w:style>
  <w:style w:styleId="style43" w:type="character">
    <w:name w:val="WW8Num11z1"/>
    <w:next w:val="style43"/>
    <w:rPr>
      <w:rFonts w:ascii="Courier New" w:cs="Courier New" w:hAnsi="Courier New"/>
      <w:sz w:val="20"/>
    </w:rPr>
  </w:style>
  <w:style w:styleId="style44" w:type="character">
    <w:name w:val="WW8Num11z2"/>
    <w:next w:val="style44"/>
    <w:rPr>
      <w:rFonts w:ascii="Wingdings" w:cs="Wingdings" w:hAnsi="Wingdings"/>
      <w:sz w:val="20"/>
    </w:rPr>
  </w:style>
  <w:style w:styleId="style45" w:type="character">
    <w:name w:val="WW8Num12z0"/>
    <w:next w:val="style45"/>
    <w:rPr>
      <w:rFonts w:ascii="Symbol" w:cs="Symbol" w:hAnsi="Symbol"/>
    </w:rPr>
  </w:style>
  <w:style w:styleId="style46" w:type="character">
    <w:name w:val="WW8Num12z1"/>
    <w:next w:val="style46"/>
    <w:rPr>
      <w:rFonts w:ascii="Courier New" w:cs="Courier New" w:hAnsi="Courier New"/>
    </w:rPr>
  </w:style>
  <w:style w:styleId="style47" w:type="character">
    <w:name w:val="WW8Num12z2"/>
    <w:next w:val="style47"/>
    <w:rPr>
      <w:rFonts w:ascii="Wingdings" w:cs="Wingdings" w:hAnsi="Wingdings"/>
    </w:rPr>
  </w:style>
  <w:style w:styleId="style48" w:type="character">
    <w:name w:val="WW8Num13z0"/>
    <w:next w:val="style48"/>
    <w:rPr>
      <w:rFonts w:ascii="Wingdings 3" w:cs="Wingdings 3" w:hAnsi="Wingdings 3"/>
    </w:rPr>
  </w:style>
  <w:style w:styleId="style49" w:type="character">
    <w:name w:val="WW8Num14z0"/>
    <w:next w:val="style49"/>
    <w:rPr>
      <w:rFonts w:ascii="Symbol" w:cs="Symbol" w:hAnsi="Symbol"/>
      <w:sz w:val="20"/>
    </w:rPr>
  </w:style>
  <w:style w:styleId="style50" w:type="character">
    <w:name w:val="WW8Num14z1"/>
    <w:next w:val="style50"/>
    <w:rPr>
      <w:rFonts w:ascii="Courier New" w:cs="Courier New" w:hAnsi="Courier New"/>
      <w:sz w:val="20"/>
    </w:rPr>
  </w:style>
  <w:style w:styleId="style51" w:type="character">
    <w:name w:val="WW8Num14z2"/>
    <w:next w:val="style51"/>
    <w:rPr>
      <w:rFonts w:ascii="Wingdings" w:cs="Wingdings" w:hAnsi="Wingdings"/>
      <w:sz w:val="20"/>
    </w:rPr>
  </w:style>
  <w:style w:styleId="style52" w:type="character">
    <w:name w:val="WW8Num17z0"/>
    <w:next w:val="style52"/>
    <w:rPr>
      <w:rFonts w:ascii="Symbol" w:cs="Symbol" w:hAnsi="Symbol"/>
      <w:sz w:val="20"/>
    </w:rPr>
  </w:style>
  <w:style w:styleId="style53" w:type="character">
    <w:name w:val="WW8Num17z1"/>
    <w:next w:val="style53"/>
    <w:rPr>
      <w:rFonts w:ascii="Courier New" w:cs="Courier New" w:hAnsi="Courier New"/>
      <w:sz w:val="20"/>
    </w:rPr>
  </w:style>
  <w:style w:styleId="style54" w:type="character">
    <w:name w:val="WW8Num17z2"/>
    <w:next w:val="style54"/>
    <w:rPr>
      <w:rFonts w:ascii="Wingdings" w:cs="Wingdings" w:hAnsi="Wingdings"/>
      <w:sz w:val="20"/>
    </w:rPr>
  </w:style>
  <w:style w:styleId="style55" w:type="character">
    <w:name w:val="WW8Num18z0"/>
    <w:next w:val="style55"/>
    <w:rPr>
      <w:rFonts w:ascii="Symbol" w:cs="Symbol" w:hAnsi="Symbol"/>
    </w:rPr>
  </w:style>
  <w:style w:styleId="style56" w:type="character">
    <w:name w:val="WW8Num18z1"/>
    <w:next w:val="style56"/>
    <w:rPr>
      <w:rFonts w:ascii="Courier New" w:cs="Courier New" w:hAnsi="Courier New"/>
    </w:rPr>
  </w:style>
  <w:style w:styleId="style57" w:type="character">
    <w:name w:val="WW8Num18z2"/>
    <w:next w:val="style57"/>
    <w:rPr>
      <w:rFonts w:ascii="Wingdings" w:cs="Wingdings" w:hAnsi="Wingdings"/>
    </w:rPr>
  </w:style>
  <w:style w:styleId="style58" w:type="character">
    <w:name w:val="WW8Num20z0"/>
    <w:next w:val="style58"/>
    <w:rPr>
      <w:rFonts w:ascii="Symbol" w:cs="Symbol" w:hAnsi="Symbol"/>
      <w:sz w:val="20"/>
    </w:rPr>
  </w:style>
  <w:style w:styleId="style59" w:type="character">
    <w:name w:val="WW8Num20z1"/>
    <w:next w:val="style59"/>
    <w:rPr>
      <w:rFonts w:ascii="Courier New" w:cs="Courier New" w:hAnsi="Courier New"/>
      <w:sz w:val="20"/>
    </w:rPr>
  </w:style>
  <w:style w:styleId="style60" w:type="character">
    <w:name w:val="WW8Num20z2"/>
    <w:next w:val="style60"/>
    <w:rPr>
      <w:rFonts w:ascii="Wingdings" w:cs="Wingdings" w:hAnsi="Wingdings"/>
      <w:sz w:val="20"/>
    </w:rPr>
  </w:style>
  <w:style w:styleId="style61" w:type="character">
    <w:name w:val="WW8Num22z0"/>
    <w:next w:val="style61"/>
    <w:rPr>
      <w:rFonts w:ascii="Symbol" w:cs="Symbol" w:hAnsi="Symbol"/>
    </w:rPr>
  </w:style>
  <w:style w:styleId="style62" w:type="character">
    <w:name w:val="WW8Num22z1"/>
    <w:next w:val="style62"/>
    <w:rPr>
      <w:rFonts w:ascii="Courier New" w:cs="Courier New" w:hAnsi="Courier New"/>
    </w:rPr>
  </w:style>
  <w:style w:styleId="style63" w:type="character">
    <w:name w:val="WW8Num22z2"/>
    <w:next w:val="style63"/>
    <w:rPr>
      <w:rFonts w:ascii="Wingdings" w:cs="Wingdings" w:hAnsi="Wingdings"/>
    </w:rPr>
  </w:style>
  <w:style w:styleId="style64" w:type="character">
    <w:name w:val="WW8Num23z0"/>
    <w:next w:val="style64"/>
    <w:rPr>
      <w:rFonts w:ascii="Symbol" w:cs="Symbol" w:hAnsi="Symbol"/>
    </w:rPr>
  </w:style>
  <w:style w:styleId="style65" w:type="character">
    <w:name w:val="WW8Num23z1"/>
    <w:next w:val="style65"/>
    <w:rPr>
      <w:rFonts w:ascii="Courier New" w:cs="Courier New" w:hAnsi="Courier New"/>
    </w:rPr>
  </w:style>
  <w:style w:styleId="style66" w:type="character">
    <w:name w:val="WW8Num23z2"/>
    <w:next w:val="style66"/>
    <w:rPr>
      <w:rFonts w:ascii="Wingdings" w:cs="Wingdings" w:hAnsi="Wingdings"/>
    </w:rPr>
  </w:style>
  <w:style w:styleId="style67" w:type="character">
    <w:name w:val="WW8Num24z0"/>
    <w:next w:val="style67"/>
    <w:rPr>
      <w:rFonts w:ascii="Symbol" w:cs="Symbol" w:hAnsi="Symbol"/>
      <w:sz w:val="20"/>
    </w:rPr>
  </w:style>
  <w:style w:styleId="style68" w:type="character">
    <w:name w:val="WW8Num24z1"/>
    <w:next w:val="style68"/>
    <w:rPr>
      <w:rFonts w:ascii="Courier New" w:cs="Courier New" w:hAnsi="Courier New"/>
      <w:sz w:val="20"/>
    </w:rPr>
  </w:style>
  <w:style w:styleId="style69" w:type="character">
    <w:name w:val="WW8Num24z2"/>
    <w:next w:val="style69"/>
    <w:rPr>
      <w:rFonts w:ascii="Wingdings" w:cs="Wingdings" w:hAnsi="Wingdings"/>
      <w:sz w:val="20"/>
    </w:rPr>
  </w:style>
  <w:style w:styleId="style70" w:type="character">
    <w:name w:val="Основной шрифт абзаца"/>
    <w:next w:val="style70"/>
    <w:rPr/>
  </w:style>
  <w:style w:styleId="style71" w:type="character">
    <w:name w:val="Основной текст Знак"/>
    <w:next w:val="style71"/>
    <w:rPr>
      <w:sz w:val="24"/>
      <w:szCs w:val="24"/>
    </w:rPr>
  </w:style>
  <w:style w:styleId="style72" w:type="character">
    <w:name w:val="Заголовок 1 Знак"/>
    <w:basedOn w:val="style70"/>
    <w:next w:val="style72"/>
    <w:rPr>
      <w:rFonts w:ascii="Arial" w:cs="Arial" w:hAnsi="Arial"/>
      <w:b/>
      <w:bCs/>
      <w:sz w:val="32"/>
      <w:szCs w:val="32"/>
    </w:rPr>
  </w:style>
  <w:style w:styleId="style73" w:type="character">
    <w:name w:val="Заголовок 2 Знак"/>
    <w:basedOn w:val="style70"/>
    <w:next w:val="style73"/>
    <w:rPr>
      <w:rFonts w:ascii="Arial" w:cs="Arial" w:hAnsi="Arial"/>
      <w:b/>
      <w:bCs/>
      <w:i/>
      <w:iCs/>
      <w:sz w:val="28"/>
      <w:szCs w:val="28"/>
    </w:rPr>
  </w:style>
  <w:style w:styleId="style74" w:type="character">
    <w:name w:val="Название Знак"/>
    <w:basedOn w:val="style70"/>
    <w:next w:val="style74"/>
    <w:rPr>
      <w:rFonts w:ascii="Arial" w:cs="Arial" w:hAnsi="Arial"/>
      <w:b/>
      <w:bCs/>
      <w:sz w:val="32"/>
      <w:szCs w:val="32"/>
    </w:rPr>
  </w:style>
  <w:style w:styleId="style75" w:type="character">
    <w:name w:val="Подзаголовок Знак"/>
    <w:basedOn w:val="style70"/>
    <w:next w:val="style75"/>
    <w:rPr>
      <w:rFonts w:ascii="Arial" w:cs="Arial" w:hAnsi="Arial"/>
      <w:sz w:val="24"/>
      <w:szCs w:val="24"/>
    </w:rPr>
  </w:style>
  <w:style w:styleId="style76" w:type="paragraph">
    <w:name w:val="Заголовок"/>
    <w:basedOn w:val="style0"/>
    <w:next w:val="style77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77" w:type="paragraph">
    <w:name w:val="Основной текст"/>
    <w:basedOn w:val="style0"/>
    <w:next w:val="style77"/>
    <w:pPr>
      <w:spacing w:after="120" w:before="0"/>
      <w:contextualSpacing w:val="false"/>
    </w:pPr>
    <w:rPr>
      <w:lang w:val="ru-RU"/>
    </w:rPr>
  </w:style>
  <w:style w:styleId="style78" w:type="paragraph">
    <w:name w:val="Список"/>
    <w:basedOn w:val="style77"/>
    <w:next w:val="style78"/>
    <w:pPr/>
    <w:rPr>
      <w:rFonts w:cs="Mangal"/>
    </w:rPr>
  </w:style>
  <w:style w:styleId="style79" w:type="paragraph">
    <w:name w:val="Название"/>
    <w:basedOn w:val="style0"/>
    <w:next w:val="style7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80" w:type="paragraph">
    <w:name w:val="Указатель"/>
    <w:basedOn w:val="style0"/>
    <w:next w:val="style80"/>
    <w:pPr>
      <w:suppressLineNumbers/>
    </w:pPr>
    <w:rPr>
      <w:rFonts w:cs="Mangal"/>
    </w:rPr>
  </w:style>
  <w:style w:styleId="style81" w:type="paragraph">
    <w:name w:val="Обычный (веб)"/>
    <w:basedOn w:val="style0"/>
    <w:next w:val="style81"/>
    <w:pPr>
      <w:spacing w:after="280" w:before="280"/>
      <w:contextualSpacing w:val="false"/>
    </w:pPr>
    <w:rPr/>
  </w:style>
  <w:style w:styleId="style82" w:type="paragraph">
    <w:name w:val="Основной текст с отступом"/>
    <w:basedOn w:val="style0"/>
    <w:next w:val="style82"/>
    <w:pPr>
      <w:spacing w:after="280" w:before="280"/>
      <w:contextualSpacing w:val="false"/>
    </w:pPr>
    <w:rPr/>
  </w:style>
  <w:style w:styleId="style83" w:type="paragraph">
    <w:name w:val="a2"/>
    <w:basedOn w:val="style0"/>
    <w:next w:val="style83"/>
    <w:pPr>
      <w:spacing w:after="280" w:before="280"/>
      <w:contextualSpacing w:val="false"/>
    </w:pPr>
    <w:rPr/>
  </w:style>
  <w:style w:styleId="style84" w:type="paragraph">
    <w:name w:val="Основной текст 3"/>
    <w:basedOn w:val="style0"/>
    <w:next w:val="style84"/>
    <w:pPr>
      <w:spacing w:after="280" w:before="280"/>
      <w:contextualSpacing w:val="false"/>
    </w:pPr>
    <w:rPr/>
  </w:style>
  <w:style w:styleId="style85" w:type="paragraph">
    <w:name w:val="msobodytext4"/>
    <w:next w:val="style85"/>
    <w:pPr>
      <w:widowControl/>
      <w:tabs/>
      <w:suppressAutoHyphens w:val="true"/>
      <w:spacing w:after="120" w:before="0"/>
      <w:contextualSpacing w:val="false"/>
    </w:pPr>
    <w:rPr>
      <w:rFonts w:ascii="Franklin Gothic Book" w:cs="Franklin Gothic Book" w:eastAsia="Times New Roman" w:hAnsi="Franklin Gothic Book"/>
      <w:color w:val="000000"/>
      <w:sz w:val="20"/>
      <w:szCs w:val="20"/>
      <w:lang w:bidi="ar-SA" w:eastAsia="zh-CN" w:val="ru-RU"/>
    </w:rPr>
  </w:style>
  <w:style w:styleId="style86" w:type="paragraph">
    <w:name w:val="Table Contents"/>
    <w:basedOn w:val="style77"/>
    <w:next w:val="style86"/>
    <w:pPr>
      <w:widowControl w:val="false"/>
      <w:suppressAutoHyphens w:val="true"/>
      <w:spacing w:after="0" w:before="0"/>
      <w:contextualSpacing w:val="false"/>
    </w:pPr>
    <w:rPr>
      <w:lang w:val="en-US"/>
    </w:rPr>
  </w:style>
  <w:style w:styleId="style87" w:type="paragraph">
    <w:name w:val="Абзац списка"/>
    <w:basedOn w:val="style0"/>
    <w:next w:val="style87"/>
    <w:pPr>
      <w:ind w:hanging="0" w:left="708" w:right="0"/>
    </w:pPr>
    <w:rPr>
      <w:rFonts w:eastAsia="Calibri"/>
    </w:rPr>
  </w:style>
  <w:style w:styleId="style88" w:type="paragraph">
    <w:name w:val="Текст выноски"/>
    <w:basedOn w:val="style0"/>
    <w:next w:val="style88"/>
    <w:pPr/>
    <w:rPr>
      <w:rFonts w:ascii="Tahoma" w:cs="Tahoma" w:hAnsi="Tahoma"/>
      <w:sz w:val="16"/>
      <w:szCs w:val="16"/>
    </w:rPr>
  </w:style>
  <w:style w:styleId="style89" w:type="paragraph">
    <w:name w:val="Подзаголовок"/>
    <w:basedOn w:val="style0"/>
    <w:next w:val="style77"/>
    <w:pPr>
      <w:spacing w:after="60" w:before="0"/>
      <w:contextualSpacing w:val="false"/>
      <w:jc w:val="center"/>
    </w:pPr>
    <w:rPr>
      <w:rFonts w:ascii="Arial" w:cs="Arial" w:hAnsi="Arial"/>
    </w:rPr>
  </w:style>
  <w:style w:styleId="style90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91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92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93" w:type="paragraph">
    <w:name w:val="а_Текст"/>
    <w:basedOn w:val="style0"/>
    <w:next w:val="style93"/>
    <w:pPr>
      <w:spacing w:after="60" w:before="60"/>
      <w:ind w:firstLine="567" w:left="0" w:right="0"/>
      <w:contextualSpacing w:val="false"/>
    </w:pPr>
    <w:rPr>
      <w:sz w:val="22"/>
    </w:rPr>
  </w:style>
  <w:style w:styleId="style94" w:type="paragraph">
    <w:name w:val="а_2_Заголовок"/>
    <w:basedOn w:val="style92"/>
    <w:next w:val="style93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95" w:type="paragraph">
    <w:name w:val="Содержимое таблицы"/>
    <w:basedOn w:val="style0"/>
    <w:next w:val="style95"/>
    <w:pPr>
      <w:suppressLineNumbers/>
    </w:pPr>
    <w:rPr/>
  </w:style>
  <w:style w:styleId="style96" w:type="paragraph">
    <w:name w:val="Заголовок таблицы"/>
    <w:basedOn w:val="style95"/>
    <w:next w:val="style96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2013-04-29T21:07:00.00Z</dcterms:created>
  <dc:creator>User</dc:creator>
  <cp:lastModifiedBy>4</cp:lastModifiedBy>
  <cp:lastPrinted>2011-11-13T14:03:00.00Z</cp:lastPrinted>
  <dcterms:modified xsi:type="dcterms:W3CDTF">2013-08-23T15:46:00.00Z</dcterms:modified>
  <cp:revision>11</cp:revision>
  <dc:title>Реализация компетентностного подхода на уроках русского языка и литературы</dc:title>
</cp:coreProperties>
</file>