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2"/>
        <w:spacing w:after="120" w:before="480"/>
        <w:contextualSpacing w:val="false"/>
      </w:pPr>
      <w:r>
        <w:rPr/>
        <w:t>Строчкова Нина Александровна</w:t>
      </w:r>
    </w:p>
    <w:p>
      <w:pPr>
        <w:pStyle w:val="style33"/>
      </w:pPr>
      <w:r>
        <w:rPr/>
        <w:t>МБОУ ДОД «ДШИ №8» г.Томска</w:t>
      </w:r>
    </w:p>
    <w:p>
      <w:pPr>
        <w:pStyle w:val="style34"/>
      </w:pPr>
      <w:r>
        <w:rPr/>
        <w:t>Методические «зарисовки» эксперимента по обучению игре на фортепиано детей трёхлетнего возраста</w:t>
      </w:r>
    </w:p>
    <w:p>
      <w:pPr>
        <w:pStyle w:val="style35"/>
      </w:pPr>
      <w:r>
        <w:rPr/>
        <w:tab/>
        <w:t xml:space="preserve">Я работаю в детской школе искусств № 8 г. Томска свыше двадцати лет. В моей педагогической практике в определённый период родители стали приводить в ДШИ трёх летних детей обучаться игре на фортепиано. Я объясняю это тем, что родители заинтересованы в раннем творческом развитии своих детей. Они спешат всесторонне подготовить их к общеобразовательной школе, понимая, что занятия музыкой помогают им в этом. Тем более, что учёные подтверждают ценность раннего развития детей, исходя из научных данных о быстром росте структур головного мозга в этот период. И поэтому, когда мои бывшие ученики приводят ко мне своих трёх летних детей, я не отказываюсь обучать их игре на фортепиано. Конечно, есть о чём задуматься: нет программ для обучения на фортепиано детей, нет разработанных методик, но есть много интересной информации психологов, научных экспериментов учёных, доказывающих возможность обучения музыке в этом возрасте, а значит и на фортепиано. </w:t>
        <w:tab/>
        <w:tab/>
        <w:tab/>
        <w:tab/>
        <w:t>Экспериментальные исследования подтверждают предрасположенность даже новорожденных детей к слушанию классической музыки. Научные данные говорят, что в раннем возрасте воображение ребёнка начинает работать ярко и интенсивно. Дети с трёх лет умеют интуитивно организовывать пространство линиями, красками, а значит звуками и ритмами. У детей реальный и вымышленный мир переплетаются, формируя образное мышление. Музыка близка эмоциональной натуре ребёнка, под влиянием музыки развивается его художественное восприятие.</w:t>
        <w:tab/>
        <w:t xml:space="preserve">В моих творческих поисках большую помощь оказала информация об опыте работы таких выдающихся педагогов как Т. Смирнова, Т. Юдовина - Гальперина и др. Директор нашей школы В.А. Карташов порекомендовал мне составить экспериментальную программу обучения детей на фортепиано с трёх лет и приступить к эксперименту. </w:t>
      </w:r>
    </w:p>
    <w:p>
      <w:pPr>
        <w:pStyle w:val="style35"/>
      </w:pPr>
      <w:r>
        <w:rPr/>
        <w:t xml:space="preserve">Родители активно откликнулись на предложение администрации нашей школы обучать игре на фортепиано своих малышей, а одна мама привела дочь в возрасте два с половиной года. Я тихо изумлялась, прикидывая, как мне посадить двух летнего ребёнка за инструмент и начинать осваивать с ней азы пианизма. Но я напрасно сомневалась, ребёнок был готов к восхождению на «Парнас» и цепко впился пальчиками в клавиатуру. Продолжая поиски источников по проблеме раннего развития детей, я наткнулась на программу МИР, книгу П.В. Тюленева, «Как развивать детей одарёнными», в которой утверждается, что ноты малыш может освоить раньше, чем начать ходить. Возможности детей гораздо шире, чем принято считать. </w:t>
      </w:r>
    </w:p>
    <w:p>
      <w:pPr>
        <w:pStyle w:val="style35"/>
      </w:pPr>
      <w:r>
        <w:rPr/>
        <w:t>В Японии педагог Шиниче Сузуки обучает сотни скрипачей с трёх лет. Дети эффективнее обучаются в первые два-три года, чем в случае начала обучения в более позднем возрасте. Знаменитый воспитатель Б.Н. Никитин ещё в 1970 году определил, что существует закон необратимого угасания возможностей, когда часть способностей может уйти в подсознание безвозвратно, если их своевременно не развивать. Очень вдохновляет информация о Хелен Хайнер (США), которая считает, что лучший способ музыкального развития детей даёт обучение игре на фортепиано. Причём именно фортепиано, а не скрипка, не блок-флейта, не шумовые инструменты К. Орфа.</w:t>
      </w:r>
    </w:p>
    <w:p>
      <w:pPr>
        <w:pStyle w:val="style35"/>
      </w:pPr>
      <w:r>
        <w:rPr/>
        <w:t>Американский врач Глен Доман, работая с детьми, страдающими тяжёлыми заболеваниями мозга\, пришёл к выводу, что мозг ребёнка необходимо заставлять трудиться. Чем раньше, тем лучше разовьётся его интеллект.</w:t>
      </w:r>
    </w:p>
    <w:p>
      <w:pPr>
        <w:pStyle w:val="style35"/>
      </w:pPr>
      <w:r>
        <w:rPr/>
        <w:t xml:space="preserve"> </w:t>
      </w:r>
      <w:r>
        <w:rPr/>
        <w:t xml:space="preserve">Детям раннего возраста не приемлемы многие приёмы и методы воспитания и обучения. Для них необходимы особые педагогические воздействия, которые отвечают их потребностям и возможностям. </w:t>
      </w:r>
    </w:p>
    <w:p>
      <w:pPr>
        <w:pStyle w:val="style35"/>
      </w:pPr>
      <w:r>
        <w:rPr/>
        <w:t>Игровые формы работы способствуют усвоению навыков игры на фортепиано и приобретению устойчивой мотивации к обучению. Сказка – первое художественное произведение, позволяющее ребёнку переживать чувство сопричастности. Педагог может увлечь ребёнка сказкой о лягушке-путешественнице, показав за инструментом, как свободно падает рука на клавиатуру. В силу своей природной активности ребёнок обязательно присоединится к игре педагога и повторит сам упражнение. Если не забывать поощрять малыша, то совместная игра станет для него желанными занятиями, и сформирует потребность в них.</w:t>
      </w:r>
    </w:p>
    <w:p>
      <w:pPr>
        <w:pStyle w:val="style35"/>
      </w:pPr>
      <w:r>
        <w:rPr/>
        <w:t>Наука утверждает, что во время музицирования, активнее всего происходит психическое развитие ребёнка, но учащийся раннего возраста, это живой и непоседливый организм. В связи с этим я считаю целесообразным заниматься с детьми трёх летнего возраста по тридцать минут два-четыре раза в неделю. Это позволяет прививать начальные пианистические навыки не в отдельных игровых действиях, а в их последовательности. Для этого следует закладывать в игру элементы планирования, используя большой выбор игр и упражнений из методических пособий и собственных педагогических находок.</w:t>
      </w:r>
    </w:p>
    <w:p>
      <w:pPr>
        <w:pStyle w:val="style35"/>
      </w:pPr>
      <w:r>
        <w:rPr/>
        <w:t>Занятия с детьми трёх летнего возраста требуют совершенно особой методики проведения уроков, но творческая свобода педагога не может быть строго регламентирована. Система методических приёмов работы с детьми определяются конкретными задачами.</w:t>
      </w:r>
    </w:p>
    <w:p>
      <w:pPr>
        <w:pStyle w:val="style35"/>
      </w:pPr>
      <w:r>
        <w:rPr/>
        <w:t>Формируя способности к слуховому представлению у малышей вверх и вниз на клавиатуре, педагог может в игровой форме делить клавиатуру на октавы:</w:t>
      </w:r>
    </w:p>
    <w:p>
      <w:pPr>
        <w:pStyle w:val="style35"/>
      </w:pPr>
      <w:r>
        <w:rPr/>
        <w:t>Вверх – лисичкина, зайкина, белкина, мышкина итд.</w:t>
      </w:r>
    </w:p>
    <w:p>
      <w:pPr>
        <w:pStyle w:val="style35"/>
      </w:pPr>
      <w:r>
        <w:rPr/>
        <w:t xml:space="preserve">Вниз – мишкина, бобкина, тигриная итд. </w:t>
      </w:r>
    </w:p>
    <w:p>
      <w:pPr>
        <w:pStyle w:val="style35"/>
      </w:pPr>
      <w:r>
        <w:rPr/>
        <w:t>Дети с удовольствием играют во всех октавах, показывая поочерёдно «зайку», «белку» итд. Удивляет терпение малышей, казавшихся такими непоседами, когда они с любовью перечисляют все клавиши на клавиатуре от «тигриной», до мышиной октавы.</w:t>
      </w:r>
    </w:p>
    <w:p>
      <w:pPr>
        <w:pStyle w:val="style35"/>
      </w:pPr>
      <w:r>
        <w:rPr/>
        <w:t>Если в альбомах учеников нарисовать всех этих зверушек в нарядных одеждах, то ребёнок дома по рисункам повторяет пройденное на уроке, постепенно нарабатывая усидчивость и систематичность в занятиях.</w:t>
      </w:r>
    </w:p>
    <w:p>
      <w:pPr>
        <w:pStyle w:val="style35"/>
      </w:pPr>
      <w:r>
        <w:rPr/>
        <w:tab/>
        <w:t xml:space="preserve">Такой же интерес у детей к нотной грамоте. Поскольку ребёнок в три года не может различать мелкие ноты на расстоянии 50 сантиметров от пюпитра, целесообразно воспользоваться советом Т.Б. Юдовиной-Гальпериной и нарисовать ему в альбоме крупные цветные ноты на широком нотоносце. Я ещё рисую в нотах подсказку, к ноте «ми» пририсовываю ушки и глазки с ротиком. Получается весёлый коричневый мишка. В ноте «ре» изображаю волны ре-ка. В ноте «фа», фартучек. В ноте «ля» - ляльку, в «си» - синичку, в «соль» - солонку. А для ноты «до» первой октавы у лисички не оказалось места и она принесла веточку (дополнительная линейка) и поместилась на ней. Можно ребёнку написать в альбоме стихи про ноты, для того, что бы родители разучили их с детьми дома. (Ноты прилагаются) Приложение №1 </w:t>
      </w:r>
    </w:p>
    <w:p>
      <w:pPr>
        <w:pStyle w:val="style35"/>
      </w:pPr>
      <w:r>
        <w:rPr/>
        <w:t xml:space="preserve"> </w:t>
      </w:r>
      <w:r>
        <w:rPr/>
        <w:tab/>
        <w:t>Для занятий дома упражнениями на организацию пианистического аппарата, я рисую в альбоме схемы – игры. Упражнение «лягушка – путешественница» очень нравится детям. «Бабуины», цепляющиеся хвостиком за клавишу (ветку) помогают почувствовать цепкий кончик пальца о «донышко» клавиши. Чтобы ребёнок поиграл всеми пальчиками поочерёдно, их можно обозначить: папа, мама итд. Упражнения «гномики Пик и Пак» помогают осваивать понятия вверх и вниз так как их домики находятся в разных концах клавиатуры.</w:t>
      </w:r>
    </w:p>
    <w:p>
      <w:pPr>
        <w:pStyle w:val="style35"/>
      </w:pPr>
      <w:r>
        <w:rPr/>
        <w:t xml:space="preserve">Это упражнение доставляет удовольствие малышам, так как превращается в целую сценку. Гномик Пик «идёт» первым и вторым пальцами к гномику Паку вверх по клавиатуре и стучит по чёрной клавише. Гномик Пак очень рад ему, угощает Пика и затем он идёт «домой» вниз по клавиатуре. Если это упражнение проделывает левая рука, то гномик Пак в свою очередь идёт к гномику Пику. Таким образом можно увлечь ребёнка любыми упражнениями, облекая их в сказочную форму. </w:t>
      </w:r>
    </w:p>
    <w:p>
      <w:pPr>
        <w:pStyle w:val="style35"/>
      </w:pPr>
      <w:r>
        <w:rPr/>
        <w:t>Дети воспринимают мир органично, они могут видеть музыку в цвете. Они очень любят рисовать, а цвет очень сильный фактор эмоционального восприятия. В связи с этим ноты и упражнения я изображаю в виде цветных рисунков, иди же в графике, чтобы ученики сами их раскрашивали дома. У детей самые разные характеры, способности, темперамент, мировоззрение. Некоторые психологически неблагополучные дети раздражительны, плаксивы, неработоспособны. Психологический уклад, характер ребёнка, требуют индивидуального подхода и подбора определённых форм психологического воздействия. Спросить ученицу, что любит её кукла, с которой она пришла на урок. Пообщаться с куклой, ответить за неё, вместе с куклой сыграть упражнения, увлечься самой, заразить ребёнка своим эмоциональным состоянием, создать атмосферу душевного комфорта, выдумывая с ученицей музыкальные истории, открывать прекрасный мир музыки. Какие преимущества у детей, занимающихся на фортепиано с трёх лет?</w:t>
      </w:r>
    </w:p>
    <w:p>
      <w:pPr>
        <w:pStyle w:val="style35"/>
      </w:pPr>
      <w:r>
        <w:rPr/>
        <w:t xml:space="preserve">Учёные установили, что пластичный пианистический аппарат трёх летнего ребёнка податливее, чем у пяти летнего. Навыки координации движений легко формируются. В этот период легче организовать пианистический аппарат через осязание. Вырабатывая контакт подушечек пальца и «донышка» клавиши, мы закладываем базу для индивидуальной манеры игры. Замечательный педагог Щмидт-Шкловская предостерегает от одной часто встречающейся ошибке: нельзя во всех случаях требовать строго определённого положения рук или движения, пусть даже и рационального. Нельзя подавлять инициативу у ребёнка и навязывать во всём своё решение, ученик должен находить и свои приёмы исполнения. Задача преподавателя помочь ученику «приспособиться» к фортепиано, найти удобные ощущения. </w:t>
      </w:r>
    </w:p>
    <w:p>
      <w:pPr>
        <w:pStyle w:val="style35"/>
      </w:pPr>
      <w:r>
        <w:rPr/>
        <w:t>Т.Б. Юдовина-Гальперина в своей книге «За роялем без слёз» считает, что в трёх летнем возрасте не стоит заниматься проблемами пальцевой артикуляции. К десяти, одиннадцати годам завершается формирование игрового аппарата, руки учащихся сами находят удобные ощущения на клавиатуре. В раннем возрасте память у детей носит непроизвольный характер, они лучше запоминают тот материал, который более эмоционально окрашен. Потребность в новизне важна для ребёнка, однако необходимо позаботиться об осознанном стремлении ребёнка к знаниям.</w:t>
      </w:r>
    </w:p>
    <w:p>
      <w:pPr>
        <w:pStyle w:val="style35"/>
      </w:pPr>
      <w:r>
        <w:rPr/>
        <w:t xml:space="preserve">Переход к игре по сборникам И. Корольковой «Нотки-клавиши» и другие воспринимаются детьми как новый этап, как поощрение в занятиях. Использование преподавателем в работе с учениками пальчиковых игр помогают развитию не только тактильных движений, но и речевого аппарата, а значит становлению личности ребёнка. </w:t>
      </w:r>
    </w:p>
    <w:p>
      <w:pPr>
        <w:pStyle w:val="style35"/>
      </w:pPr>
      <w:r>
        <w:rPr/>
        <w:t xml:space="preserve">Начальный этап обучения – самый ответственный и сложный, на этом этапе важно понимать состояние детской души, считаясь с индивидуальностью ребёнка, с его способностями и наклонностями. </w:t>
      </w:r>
    </w:p>
    <w:p>
      <w:pPr>
        <w:pStyle w:val="style36"/>
        <w:jc w:val="center"/>
      </w:pPr>
      <w:r>
        <w:rPr>
          <w:szCs w:val="28"/>
        </w:rPr>
        <w:t>Список литературы:</w:t>
      </w:r>
    </w:p>
    <w:p>
      <w:pPr>
        <w:pStyle w:val="style35"/>
      </w:pPr>
      <w:r>
        <w:rPr/>
        <w:t>1. Алексеева А. Методика обучения игре на фортепиано. - М., 1952.</w:t>
      </w:r>
    </w:p>
    <w:p>
      <w:pPr>
        <w:pStyle w:val="style35"/>
      </w:pPr>
      <w:r>
        <w:rPr/>
        <w:t xml:space="preserve">2. Баренбойм Л. Вопросы фортепианной педагогики и исполнительства. - </w:t>
      </w:r>
    </w:p>
    <w:p>
      <w:pPr>
        <w:pStyle w:val="style35"/>
      </w:pPr>
      <w:r>
        <w:rPr/>
        <w:t xml:space="preserve"> </w:t>
      </w:r>
      <w:r>
        <w:rPr/>
        <w:t>Л.,1982.</w:t>
      </w:r>
    </w:p>
    <w:p>
      <w:pPr>
        <w:pStyle w:val="style35"/>
      </w:pPr>
      <w:r>
        <w:rPr/>
        <w:t>3. Баренбойм Л. «Путь к музицированию» (монография).- Л., 1973.</w:t>
      </w:r>
    </w:p>
    <w:p>
      <w:pPr>
        <w:pStyle w:val="style35"/>
      </w:pPr>
      <w:r>
        <w:rPr/>
        <w:t xml:space="preserve">4. Брянская Ф. Формирование и развитие навыка игры чтения с листа в </w:t>
      </w:r>
    </w:p>
    <w:p>
      <w:pPr>
        <w:pStyle w:val="style35"/>
      </w:pPr>
      <w:r>
        <w:rPr/>
        <w:t xml:space="preserve"> </w:t>
      </w:r>
      <w:r>
        <w:rPr/>
        <w:t>первые годы обучения пианиста.- М.: Классика-XXI, 2005.</w:t>
      </w:r>
    </w:p>
    <w:p>
      <w:pPr>
        <w:pStyle w:val="style35"/>
      </w:pPr>
      <w:r>
        <w:rPr/>
        <w:t>5. Готсдинер А. Музыкальная психология.- М., 1993.</w:t>
      </w:r>
    </w:p>
    <w:p>
      <w:pPr>
        <w:pStyle w:val="style35"/>
      </w:pPr>
      <w:r>
        <w:rPr/>
        <w:t>6. Кирнарская Д. Музыкальные способности.- М.: Таланты-XXI век, 2004.</w:t>
      </w:r>
    </w:p>
    <w:p>
      <w:pPr>
        <w:pStyle w:val="style35"/>
      </w:pPr>
      <w:r>
        <w:rPr/>
        <w:t>7. Любомудрова Н. Методика обучения на фортепиано.- М.: Музыка, 1982.</w:t>
      </w:r>
    </w:p>
    <w:p>
      <w:pPr>
        <w:pStyle w:val="style35"/>
      </w:pPr>
      <w:r>
        <w:rPr/>
        <w:t>8. Ляховицкая С. О педагогическом мастерстве.- Л., 1963.</w:t>
      </w:r>
    </w:p>
    <w:p>
      <w:pPr>
        <w:pStyle w:val="style35"/>
      </w:pPr>
      <w:r>
        <w:rPr/>
        <w:t xml:space="preserve">9. Макуренкова Е. Всеобщая музыкальная грамотность и активизация </w:t>
      </w:r>
    </w:p>
    <w:p>
      <w:pPr>
        <w:pStyle w:val="style35"/>
      </w:pPr>
      <w:r>
        <w:rPr/>
        <w:t xml:space="preserve"> </w:t>
      </w:r>
      <w:r>
        <w:rPr/>
        <w:t>профессионального образования.- М.: РИО РАМ им. Гнесиных, 2003.</w:t>
      </w:r>
    </w:p>
    <w:p>
      <w:pPr>
        <w:pStyle w:val="style35"/>
      </w:pPr>
      <w:r>
        <w:rPr/>
        <w:t>10. Милич Б. Воспитание ученика-пианиста.- К., 1979.</w:t>
      </w:r>
    </w:p>
    <w:p>
      <w:pPr>
        <w:pStyle w:val="style35"/>
      </w:pPr>
      <w:r>
        <w:rPr/>
        <w:t xml:space="preserve">11. Петрушин В. Музыкальная психология.- М.: Гуманитарный издательский </w:t>
      </w:r>
    </w:p>
    <w:p>
      <w:pPr>
        <w:pStyle w:val="style35"/>
      </w:pPr>
      <w:r>
        <w:rPr/>
        <w:t xml:space="preserve"> </w:t>
      </w:r>
      <w:r>
        <w:rPr/>
        <w:t>центр «Владос», 1997.</w:t>
      </w:r>
    </w:p>
    <w:p>
      <w:pPr>
        <w:pStyle w:val="style35"/>
      </w:pPr>
      <w:r>
        <w:rPr/>
        <w:t>12. Тимакин Е. Воспитание пианиста. Методическое пособие.- М.:</w:t>
      </w:r>
    </w:p>
    <w:p>
      <w:pPr>
        <w:pStyle w:val="style35"/>
      </w:pPr>
      <w:r>
        <w:rPr/>
        <w:t xml:space="preserve"> </w:t>
      </w:r>
      <w:r>
        <w:rPr/>
        <w:t>Советский композитор, 1989.</w:t>
      </w:r>
    </w:p>
    <w:p>
      <w:pPr>
        <w:pStyle w:val="style35"/>
      </w:pPr>
      <w:r>
        <w:rPr/>
        <w:t>13. Цыпин Г. Психология музыкальной деятельности.- М., 1994.</w:t>
      </w:r>
    </w:p>
    <w:p>
      <w:pPr>
        <w:pStyle w:val="style35"/>
      </w:pPr>
      <w:r>
        <w:rPr/>
        <w:t>14. Шмидт-Шкловская А. О воспитании пианистических навыков.- М.:</w:t>
      </w:r>
    </w:p>
    <w:p>
      <w:pPr>
        <w:pStyle w:val="style35"/>
      </w:pPr>
      <w:r>
        <w:rPr/>
        <w:t xml:space="preserve"> </w:t>
      </w:r>
      <w:r>
        <w:rPr/>
        <w:t>Классика-XXI, 2002.</w:t>
      </w:r>
    </w:p>
    <w:p>
      <w:pPr>
        <w:pStyle w:val="style35"/>
      </w:pPr>
      <w:r>
        <w:rPr/>
        <w:t xml:space="preserve">15. Юдовина-Гальперина Т. За роялем без слёз, или я – детский педагог.- </w:t>
      </w:r>
    </w:p>
    <w:p>
      <w:pPr>
        <w:pStyle w:val="style35"/>
      </w:pPr>
      <w:r>
        <w:rPr/>
        <w:t xml:space="preserve"> </w:t>
      </w:r>
      <w:r>
        <w:rPr/>
        <w:t>СПб., 1996.</w:t>
      </w:r>
    </w:p>
    <w:p>
      <w:pPr>
        <w:pStyle w:val="style0"/>
        <w:ind w:firstLine="708" w:left="0" w:right="0"/>
        <w:jc w:val="both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ru-RU"/>
    </w:rPr>
  </w:style>
  <w:style w:styleId="style1" w:type="paragraph">
    <w:name w:val="Заголовок 1"/>
    <w:basedOn w:val="style0"/>
    <w:next w:val="style0"/>
    <w:pPr>
      <w:keepNext/>
      <w:numPr>
        <w:ilvl w:val="0"/>
        <w:numId w:val="1"/>
      </w:numPr>
      <w:spacing w:after="60" w:before="240"/>
      <w:contextualSpacing w:val="false"/>
      <w:outlineLvl w:val="0"/>
    </w:pPr>
    <w:rPr>
      <w:rFonts w:ascii="Arial" w:cs="Arial" w:hAnsi="Arial"/>
      <w:b/>
      <w:bCs/>
      <w:sz w:val="32"/>
      <w:szCs w:val="32"/>
    </w:rPr>
  </w:style>
  <w:style w:styleId="style2" w:type="paragraph">
    <w:name w:val="Заголовок 2"/>
    <w:basedOn w:val="style0"/>
    <w:next w:val="style0"/>
    <w:pPr>
      <w:keepNext/>
      <w:numPr>
        <w:ilvl w:val="1"/>
        <w:numId w:val="1"/>
      </w:numPr>
      <w:spacing w:after="60" w:before="240"/>
      <w:contextualSpacing w:val="false"/>
      <w:outlineLvl w:val="1"/>
    </w:pPr>
    <w:rPr>
      <w:rFonts w:ascii="Arial" w:cs="Arial" w:hAnsi="Arial"/>
      <w:b/>
      <w:bCs/>
      <w:i/>
      <w:iCs/>
      <w:sz w:val="28"/>
      <w:szCs w:val="28"/>
    </w:rPr>
  </w:style>
  <w:style w:styleId="style15" w:type="character">
    <w:name w:val="WW8Num1z0"/>
    <w:next w:val="style15"/>
    <w:rPr>
      <w:rFonts w:cs="Times New Roman"/>
    </w:rPr>
  </w:style>
  <w:style w:styleId="style16" w:type="character">
    <w:name w:val="WW8Num2z0"/>
    <w:next w:val="style16"/>
    <w:rPr>
      <w:rFonts w:cs="Times New Roman"/>
    </w:rPr>
  </w:style>
  <w:style w:styleId="style17" w:type="character">
    <w:name w:val="Основной шрифт абзаца"/>
    <w:next w:val="style17"/>
    <w:rPr/>
  </w:style>
  <w:style w:styleId="style18" w:type="character">
    <w:name w:val="Интернет-ссылка"/>
    <w:next w:val="style18"/>
    <w:rPr>
      <w:color w:val="0000FF"/>
      <w:u w:val="single"/>
    </w:rPr>
  </w:style>
  <w:style w:styleId="style19" w:type="character">
    <w:name w:val="Текст выноски Знак"/>
    <w:next w:val="style19"/>
    <w:rPr>
      <w:rFonts w:ascii="Tahoma" w:cs="Tahoma" w:hAnsi="Tahoma"/>
      <w:sz w:val="16"/>
    </w:rPr>
  </w:style>
  <w:style w:styleId="style20" w:type="character">
    <w:name w:val="Заголовок 1 Знак"/>
    <w:basedOn w:val="style17"/>
    <w:next w:val="style20"/>
    <w:rPr>
      <w:rFonts w:ascii="Arial" w:cs="Arial" w:hAnsi="Arial"/>
      <w:b/>
      <w:bCs/>
      <w:sz w:val="32"/>
      <w:szCs w:val="32"/>
    </w:rPr>
  </w:style>
  <w:style w:styleId="style21" w:type="character">
    <w:name w:val="Заголовок 2 Знак"/>
    <w:basedOn w:val="style17"/>
    <w:next w:val="style21"/>
    <w:rPr>
      <w:rFonts w:ascii="Arial" w:cs="Arial" w:hAnsi="Arial"/>
      <w:b/>
      <w:bCs/>
      <w:i/>
      <w:iCs/>
      <w:sz w:val="28"/>
      <w:szCs w:val="28"/>
    </w:rPr>
  </w:style>
  <w:style w:styleId="style22" w:type="character">
    <w:name w:val="Название Знак"/>
    <w:basedOn w:val="style17"/>
    <w:next w:val="style22"/>
    <w:rPr>
      <w:rFonts w:ascii="Arial" w:cs="Arial" w:hAnsi="Arial"/>
      <w:b/>
      <w:bCs/>
      <w:sz w:val="32"/>
      <w:szCs w:val="32"/>
    </w:rPr>
  </w:style>
  <w:style w:styleId="style23" w:type="character">
    <w:name w:val="Подзаголовок Знак"/>
    <w:basedOn w:val="style17"/>
    <w:next w:val="style23"/>
    <w:rPr>
      <w:rFonts w:ascii="Arial" w:cs="Arial" w:hAnsi="Arial"/>
      <w:sz w:val="24"/>
      <w:szCs w:val="24"/>
    </w:rPr>
  </w:style>
  <w:style w:styleId="style24" w:type="paragraph">
    <w:name w:val="Заголовок"/>
    <w:basedOn w:val="style0"/>
    <w:next w:val="style25"/>
    <w:pPr>
      <w:spacing w:after="60" w:before="240"/>
      <w:contextualSpacing w:val="false"/>
      <w:jc w:val="center"/>
    </w:pPr>
    <w:rPr>
      <w:rFonts w:ascii="Arial" w:cs="Arial" w:hAnsi="Arial"/>
      <w:b/>
      <w:bCs/>
      <w:sz w:val="32"/>
      <w:szCs w:val="32"/>
    </w:rPr>
  </w:style>
  <w:style w:styleId="style25" w:type="paragraph">
    <w:name w:val="Основной текст"/>
    <w:basedOn w:val="style0"/>
    <w:next w:val="style25"/>
    <w:pPr>
      <w:spacing w:after="120" w:before="0"/>
      <w:contextualSpacing w:val="false"/>
    </w:pPr>
    <w:rPr/>
  </w:style>
  <w:style w:styleId="style26" w:type="paragraph">
    <w:name w:val="Список"/>
    <w:basedOn w:val="style25"/>
    <w:next w:val="style26"/>
    <w:pPr/>
    <w:rPr>
      <w:rFonts w:cs="Mangal"/>
    </w:rPr>
  </w:style>
  <w:style w:styleId="style27" w:type="paragraph">
    <w:name w:val="Название"/>
    <w:basedOn w:val="style0"/>
    <w:next w:val="style27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8" w:type="paragraph">
    <w:name w:val="Указатель"/>
    <w:basedOn w:val="style0"/>
    <w:next w:val="style28"/>
    <w:pPr>
      <w:suppressLineNumbers/>
    </w:pPr>
    <w:rPr>
      <w:rFonts w:cs="Mangal"/>
    </w:rPr>
  </w:style>
  <w:style w:styleId="style29" w:type="paragraph">
    <w:name w:val="Абзац списка"/>
    <w:basedOn w:val="style0"/>
    <w:next w:val="style29"/>
    <w:pPr>
      <w:ind w:hanging="0" w:left="708" w:right="0"/>
    </w:pPr>
    <w:rPr/>
  </w:style>
  <w:style w:styleId="style30" w:type="paragraph">
    <w:name w:val="Текст выноски"/>
    <w:basedOn w:val="style0"/>
    <w:next w:val="style30"/>
    <w:pPr>
      <w:spacing w:after="0" w:before="0" w:line="240" w:lineRule="auto"/>
      <w:contextualSpacing w:val="false"/>
    </w:pPr>
    <w:rPr>
      <w:rFonts w:ascii="Tahoma" w:cs="Tahoma" w:hAnsi="Tahoma"/>
      <w:sz w:val="16"/>
      <w:szCs w:val="20"/>
      <w:lang w:val="ru-RU"/>
    </w:rPr>
  </w:style>
  <w:style w:styleId="style31" w:type="paragraph">
    <w:name w:val="Подзаголовок"/>
    <w:basedOn w:val="style0"/>
    <w:next w:val="style25"/>
    <w:pPr>
      <w:spacing w:after="60" w:before="0"/>
      <w:contextualSpacing w:val="false"/>
      <w:jc w:val="center"/>
    </w:pPr>
    <w:rPr>
      <w:rFonts w:ascii="Arial" w:cs="Arial" w:hAnsi="Arial"/>
    </w:rPr>
  </w:style>
  <w:style w:styleId="style32" w:type="paragraph">
    <w:name w:val="а_Авторы"/>
    <w:basedOn w:val="style0"/>
    <w:next w:val="style0"/>
    <w:pPr>
      <w:spacing w:after="120" w:before="480"/>
      <w:contextualSpacing w:val="false"/>
      <w:jc w:val="right"/>
    </w:pPr>
    <w:rPr>
      <w:b/>
      <w:i/>
    </w:rPr>
  </w:style>
  <w:style w:styleId="style33" w:type="paragraph">
    <w:name w:val="а_Учреждение"/>
    <w:basedOn w:val="style0"/>
    <w:next w:val="style0"/>
    <w:pPr>
      <w:jc w:val="right"/>
    </w:pPr>
    <w:rPr>
      <w:i/>
      <w:sz w:val="22"/>
    </w:rPr>
  </w:style>
  <w:style w:styleId="style34" w:type="paragraph">
    <w:name w:val="а_Заголовок"/>
    <w:basedOn w:val="style0"/>
    <w:next w:val="style0"/>
    <w:pPr>
      <w:spacing w:after="120" w:before="240"/>
      <w:contextualSpacing w:val="false"/>
      <w:jc w:val="center"/>
    </w:pPr>
    <w:rPr>
      <w:b/>
      <w:sz w:val="28"/>
    </w:rPr>
  </w:style>
  <w:style w:styleId="style35" w:type="paragraph">
    <w:name w:val="а_Текст"/>
    <w:basedOn w:val="style0"/>
    <w:next w:val="style35"/>
    <w:pPr>
      <w:spacing w:after="60" w:before="60"/>
      <w:ind w:firstLine="567" w:left="0" w:right="0"/>
      <w:contextualSpacing w:val="false"/>
    </w:pPr>
    <w:rPr>
      <w:sz w:val="22"/>
    </w:rPr>
  </w:style>
  <w:style w:styleId="style36" w:type="paragraph">
    <w:name w:val="а_2_Заголовок"/>
    <w:basedOn w:val="style34"/>
    <w:next w:val="style35"/>
    <w:pPr>
      <w:spacing w:after="0" w:before="120"/>
      <w:ind w:firstLine="567" w:left="0" w:right="0"/>
      <w:contextualSpacing w:val="false"/>
      <w:jc w:val="left"/>
    </w:pPr>
    <w:rPr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25620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2013-01-14T15:14:00.00Z</dcterms:created>
  <dc:creator>Comp</dc:creator>
  <cp:lastModifiedBy>4</cp:lastModifiedBy>
  <cp:lastPrinted>2013-02-08T10:48:00.00Z</cp:lastPrinted>
  <dcterms:modified xsi:type="dcterms:W3CDTF">2013-08-23T16:02:00.00Z</dcterms:modified>
  <cp:revision>24</cp:revision>
</cp:coreProperties>
</file>